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EA730" w14:textId="110ABAEF" w:rsidR="001A52B1" w:rsidRDefault="005D4027" w:rsidP="00237211">
      <w:pPr>
        <w:jc w:val="both"/>
      </w:pPr>
      <w:r>
        <w:rPr>
          <w:noProof/>
          <w:lang w:val="sr-Latn-BA" w:eastAsia="sr-Latn-BA"/>
        </w:rPr>
        <w:drawing>
          <wp:anchor distT="0" distB="0" distL="114300" distR="114300" simplePos="0" relativeHeight="251658240" behindDoc="0" locked="0" layoutInCell="1" allowOverlap="1" wp14:anchorId="08635E51" wp14:editId="2504CA3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8405" cy="157655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76"/>
                    <a:stretch/>
                  </pic:blipFill>
                  <pic:spPr bwMode="auto">
                    <a:xfrm>
                      <a:off x="0" y="0"/>
                      <a:ext cx="7600607" cy="158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AC29D" w14:textId="63B22416" w:rsidR="005C031A" w:rsidRDefault="005C031A" w:rsidP="00237211">
      <w:pPr>
        <w:jc w:val="both"/>
      </w:pPr>
    </w:p>
    <w:p w14:paraId="441F41D9" w14:textId="7E2E0436" w:rsidR="00237211" w:rsidRDefault="00237211" w:rsidP="00237211">
      <w:pPr>
        <w:jc w:val="both"/>
      </w:pPr>
    </w:p>
    <w:p w14:paraId="30713D13" w14:textId="7EB3B65C" w:rsidR="00237211" w:rsidRPr="00346919" w:rsidRDefault="00237211" w:rsidP="00237211">
      <w:pPr>
        <w:spacing w:line="240" w:lineRule="auto"/>
        <w:contextualSpacing/>
        <w:jc w:val="both"/>
        <w:rPr>
          <w:rFonts w:cs="Calibri"/>
          <w:highlight w:val="yellow"/>
        </w:rPr>
      </w:pPr>
    </w:p>
    <w:p w14:paraId="394D62A3" w14:textId="2CFAA75F" w:rsidR="009D1362" w:rsidRDefault="009D1362" w:rsidP="00237211">
      <w:pPr>
        <w:spacing w:line="240" w:lineRule="auto"/>
        <w:contextualSpacing/>
        <w:jc w:val="both"/>
        <w:rPr>
          <w:rFonts w:cs="Calibri"/>
        </w:rPr>
      </w:pPr>
    </w:p>
    <w:p w14:paraId="10331363" w14:textId="16781CEC" w:rsidR="009D1362" w:rsidRDefault="00DC0D94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noProof/>
          <w:lang w:val="sr-Latn-BA" w:eastAsia="sr-Latn-BA"/>
        </w:rPr>
        <w:drawing>
          <wp:anchor distT="0" distB="0" distL="114300" distR="114300" simplePos="0" relativeHeight="251660290" behindDoc="0" locked="0" layoutInCell="1" allowOverlap="1" wp14:anchorId="63B6B03E" wp14:editId="0E6CFA5C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4533342" cy="885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342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F6A84" w14:textId="3C1132A6" w:rsidR="009D1362" w:rsidRDefault="009D1362" w:rsidP="7D680D59">
      <w:pPr>
        <w:spacing w:line="20" w:lineRule="atLeast"/>
        <w:contextualSpacing/>
        <w:jc w:val="both"/>
      </w:pPr>
    </w:p>
    <w:p w14:paraId="0E73CB34" w14:textId="66A5CD15" w:rsidR="0025347E" w:rsidRDefault="0025347E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19748516" w14:textId="7B752A95" w:rsidR="0025347E" w:rsidRDefault="0025347E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0F0E0AE8" w14:textId="59180EC1" w:rsidR="0025347E" w:rsidRDefault="0025347E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34121597" w14:textId="2A51AF8A" w:rsidR="0025347E" w:rsidRDefault="77E4A142" w:rsidP="7D680D59">
      <w:pPr>
        <w:spacing w:line="20" w:lineRule="atLeast"/>
        <w:contextualSpacing/>
        <w:jc w:val="both"/>
      </w:pPr>
      <w:r>
        <w:t xml:space="preserve">   </w:t>
      </w:r>
    </w:p>
    <w:p w14:paraId="6498C3A9" w14:textId="2C0DD83A" w:rsidR="7D680D59" w:rsidRDefault="7D680D59" w:rsidP="7D680D59">
      <w:pPr>
        <w:spacing w:line="20" w:lineRule="atLeast"/>
        <w:contextualSpacing/>
        <w:jc w:val="both"/>
      </w:pPr>
    </w:p>
    <w:p w14:paraId="68CDC926" w14:textId="652EFC20" w:rsidR="009D1362" w:rsidRDefault="009D1362" w:rsidP="101B0DD8">
      <w:pPr>
        <w:spacing w:line="20" w:lineRule="atLeast"/>
        <w:contextualSpacing/>
        <w:jc w:val="both"/>
        <w:rPr>
          <w:sz w:val="24"/>
          <w:szCs w:val="24"/>
        </w:rPr>
      </w:pPr>
      <w:r w:rsidRPr="101B0DD8">
        <w:rPr>
          <w:sz w:val="24"/>
          <w:szCs w:val="24"/>
        </w:rPr>
        <w:t>Poštovani predstavnici grad</w:t>
      </w:r>
      <w:r w:rsidR="00015158">
        <w:rPr>
          <w:sz w:val="24"/>
          <w:szCs w:val="24"/>
        </w:rPr>
        <w:t>ova i opština</w:t>
      </w:r>
      <w:r w:rsidRPr="101B0DD8">
        <w:rPr>
          <w:sz w:val="24"/>
          <w:szCs w:val="24"/>
        </w:rPr>
        <w:t xml:space="preserve">, </w:t>
      </w:r>
    </w:p>
    <w:p w14:paraId="39AAB103" w14:textId="6E5731FD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6455A3BE" w14:textId="083E1C21" w:rsidR="009D1362" w:rsidRDefault="009D1362" w:rsidP="5FCC224E">
      <w:pPr>
        <w:spacing w:line="20" w:lineRule="atLeast"/>
        <w:contextualSpacing/>
        <w:jc w:val="both"/>
        <w:rPr>
          <w:sz w:val="24"/>
          <w:szCs w:val="24"/>
        </w:rPr>
      </w:pPr>
      <w:r w:rsidRPr="5FCC224E">
        <w:rPr>
          <w:sz w:val="24"/>
          <w:szCs w:val="24"/>
        </w:rPr>
        <w:t>Zadovoljstvo nam je da</w:t>
      </w:r>
      <w:r w:rsidR="00870B91">
        <w:rPr>
          <w:sz w:val="24"/>
          <w:szCs w:val="24"/>
        </w:rPr>
        <w:t>,</w:t>
      </w:r>
      <w:r w:rsidRPr="5FCC224E">
        <w:rPr>
          <w:sz w:val="24"/>
          <w:szCs w:val="24"/>
        </w:rPr>
        <w:t xml:space="preserve"> nakon usp</w:t>
      </w:r>
      <w:r w:rsidR="00481AFD">
        <w:rPr>
          <w:sz w:val="24"/>
          <w:szCs w:val="24"/>
        </w:rPr>
        <w:t>j</w:t>
      </w:r>
      <w:r w:rsidRPr="5FCC224E">
        <w:rPr>
          <w:sz w:val="24"/>
          <w:szCs w:val="24"/>
        </w:rPr>
        <w:t>ešno završenog postupka revizije, nakon više od 6 m</w:t>
      </w:r>
      <w:r w:rsidR="00015158">
        <w:rPr>
          <w:sz w:val="24"/>
          <w:szCs w:val="24"/>
        </w:rPr>
        <w:t>j</w:t>
      </w:r>
      <w:r w:rsidRPr="5FCC224E">
        <w:rPr>
          <w:sz w:val="24"/>
          <w:szCs w:val="24"/>
        </w:rPr>
        <w:t>eseci posvećenog rada u kojem je učestvovalo više od 100 sagovornika i stručnjaka iz oblasti lokalnog ekonomskog razvoja i standardizacije</w:t>
      </w:r>
      <w:r w:rsidR="720445B1" w:rsidRPr="5FCC224E">
        <w:rPr>
          <w:sz w:val="24"/>
          <w:szCs w:val="24"/>
        </w:rPr>
        <w:t xml:space="preserve"> opštinskih usluga</w:t>
      </w:r>
      <w:r w:rsidRPr="5FCC224E">
        <w:rPr>
          <w:sz w:val="24"/>
          <w:szCs w:val="24"/>
        </w:rPr>
        <w:t>, predstavimo neke od najnovijih prednosti i mogućnosti unapr</w:t>
      </w:r>
      <w:r w:rsidR="00870B91">
        <w:rPr>
          <w:sz w:val="24"/>
          <w:szCs w:val="24"/>
        </w:rPr>
        <w:t>eđenog BFC SEE p</w:t>
      </w:r>
      <w:r w:rsidRPr="5FCC224E">
        <w:rPr>
          <w:sz w:val="24"/>
          <w:szCs w:val="24"/>
        </w:rPr>
        <w:t xml:space="preserve">rograma i IV Edicije međunarodnog BFC SEE standarda. </w:t>
      </w:r>
      <w:r w:rsidR="00DC0D94">
        <w:rPr>
          <w:sz w:val="24"/>
          <w:szCs w:val="24"/>
        </w:rPr>
        <w:t xml:space="preserve">Čitav proces sprovelo je </w:t>
      </w:r>
      <w:r w:rsidR="00DC0D94" w:rsidRPr="00D74CE4">
        <w:rPr>
          <w:sz w:val="24"/>
          <w:szCs w:val="24"/>
        </w:rPr>
        <w:t>Partnerstvo za konkurentniji region - KOR Partnerstvo</w:t>
      </w:r>
      <w:r w:rsidR="00DC0D94">
        <w:rPr>
          <w:sz w:val="24"/>
          <w:szCs w:val="24"/>
        </w:rPr>
        <w:t xml:space="preserve"> </w:t>
      </w:r>
      <w:r w:rsidR="00870B91">
        <w:rPr>
          <w:sz w:val="24"/>
          <w:szCs w:val="24"/>
        </w:rPr>
        <w:t xml:space="preserve">- </w:t>
      </w:r>
      <w:r w:rsidR="00DC0D94" w:rsidRPr="00D74CE4">
        <w:rPr>
          <w:sz w:val="24"/>
          <w:szCs w:val="24"/>
        </w:rPr>
        <w:t>uz podršku N</w:t>
      </w:r>
      <w:r w:rsidR="00870B91">
        <w:rPr>
          <w:sz w:val="24"/>
          <w:szCs w:val="24"/>
        </w:rPr>
        <w:t>j</w:t>
      </w:r>
      <w:r w:rsidR="00DC0D94" w:rsidRPr="00D74CE4">
        <w:rPr>
          <w:sz w:val="24"/>
          <w:szCs w:val="24"/>
        </w:rPr>
        <w:t>emačke razvojne saradnje koju sprovodi GIZ</w:t>
      </w:r>
      <w:r w:rsidR="00DC0D94">
        <w:rPr>
          <w:sz w:val="24"/>
          <w:szCs w:val="24"/>
        </w:rPr>
        <w:t>.</w:t>
      </w:r>
    </w:p>
    <w:p w14:paraId="4477A031" w14:textId="0034F403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3C494E6B" w14:textId="559D59E0" w:rsidR="009D1362" w:rsidRDefault="00870B91" w:rsidP="5FCC224E">
      <w:pPr>
        <w:spacing w:line="2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susret novim procesima </w:t>
      </w:r>
      <w:proofErr w:type="spellStart"/>
      <w:r>
        <w:rPr>
          <w:sz w:val="24"/>
          <w:szCs w:val="24"/>
        </w:rPr>
        <w:t>s</w:t>
      </w:r>
      <w:r w:rsidR="009D1362" w:rsidRPr="5FCC224E">
        <w:rPr>
          <w:sz w:val="24"/>
          <w:szCs w:val="24"/>
        </w:rPr>
        <w:t>ertifikacije</w:t>
      </w:r>
      <w:proofErr w:type="spellEnd"/>
      <w:r w:rsidR="009D1362" w:rsidRPr="5FCC224E">
        <w:rPr>
          <w:sz w:val="24"/>
          <w:szCs w:val="24"/>
        </w:rPr>
        <w:t xml:space="preserve"> radujemo se novim izazovima koji su kreatori povoljnog poslovnog okruženja postavili ispred nas.</w:t>
      </w:r>
    </w:p>
    <w:p w14:paraId="635237CF" w14:textId="7A8D264D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6433F157" w14:textId="4EE4986C" w:rsidR="009D1362" w:rsidRDefault="009D1362" w:rsidP="5FCC224E">
      <w:pPr>
        <w:spacing w:line="20" w:lineRule="atLeast"/>
        <w:contextualSpacing/>
        <w:jc w:val="both"/>
        <w:rPr>
          <w:sz w:val="24"/>
          <w:szCs w:val="24"/>
        </w:rPr>
      </w:pPr>
      <w:r w:rsidRPr="5FCC224E">
        <w:rPr>
          <w:sz w:val="24"/>
          <w:szCs w:val="24"/>
        </w:rPr>
        <w:t>Uv</w:t>
      </w:r>
      <w:r w:rsidR="0056127B">
        <w:rPr>
          <w:sz w:val="24"/>
          <w:szCs w:val="24"/>
        </w:rPr>
        <w:t>j</w:t>
      </w:r>
      <w:r w:rsidRPr="5FCC224E">
        <w:rPr>
          <w:sz w:val="24"/>
          <w:szCs w:val="24"/>
        </w:rPr>
        <w:t>ereni da ćemo zajedno usp</w:t>
      </w:r>
      <w:r w:rsidR="00870B91">
        <w:rPr>
          <w:sz w:val="24"/>
          <w:szCs w:val="24"/>
        </w:rPr>
        <w:t>j</w:t>
      </w:r>
      <w:r w:rsidRPr="5FCC224E">
        <w:rPr>
          <w:sz w:val="24"/>
          <w:szCs w:val="24"/>
        </w:rPr>
        <w:t>eti da odgovorimo postavljenim zadacima i da će se upra</w:t>
      </w:r>
      <w:r w:rsidR="0056127B">
        <w:rPr>
          <w:sz w:val="24"/>
          <w:szCs w:val="24"/>
        </w:rPr>
        <w:t xml:space="preserve">vo Vaša opština naći među </w:t>
      </w:r>
      <w:r w:rsidRPr="5FCC224E">
        <w:rPr>
          <w:sz w:val="24"/>
          <w:szCs w:val="24"/>
        </w:rPr>
        <w:t xml:space="preserve">nosiocima prestižnog BFC SEE </w:t>
      </w:r>
      <w:proofErr w:type="spellStart"/>
      <w:r w:rsidR="00870B91">
        <w:rPr>
          <w:sz w:val="24"/>
          <w:szCs w:val="24"/>
        </w:rPr>
        <w:t>s</w:t>
      </w:r>
      <w:r w:rsidR="72748EDF" w:rsidRPr="5FCC224E">
        <w:rPr>
          <w:sz w:val="24"/>
          <w:szCs w:val="24"/>
        </w:rPr>
        <w:t>ertifikata</w:t>
      </w:r>
      <w:proofErr w:type="spellEnd"/>
      <w:r w:rsidR="00ED65F1">
        <w:rPr>
          <w:sz w:val="24"/>
          <w:szCs w:val="24"/>
        </w:rPr>
        <w:t xml:space="preserve"> i na taj način pozic</w:t>
      </w:r>
      <w:r w:rsidR="00870B91">
        <w:rPr>
          <w:sz w:val="24"/>
          <w:szCs w:val="24"/>
        </w:rPr>
        <w:t>ionirati na investicionoj mapi j</w:t>
      </w:r>
      <w:r w:rsidR="00ED65F1">
        <w:rPr>
          <w:sz w:val="24"/>
          <w:szCs w:val="24"/>
        </w:rPr>
        <w:t>ugoistočne Evrope,</w:t>
      </w:r>
      <w:r w:rsidRPr="5FCC224E">
        <w:rPr>
          <w:sz w:val="24"/>
          <w:szCs w:val="24"/>
        </w:rPr>
        <w:t xml:space="preserve"> pozivamo Vas da se u nastavku ukratko inf</w:t>
      </w:r>
      <w:r w:rsidR="00671151">
        <w:rPr>
          <w:sz w:val="24"/>
          <w:szCs w:val="24"/>
        </w:rPr>
        <w:t>ormišete o pojedinostima i pers</w:t>
      </w:r>
      <w:r w:rsidRPr="5FCC224E">
        <w:rPr>
          <w:sz w:val="24"/>
          <w:szCs w:val="24"/>
        </w:rPr>
        <w:t>p</w:t>
      </w:r>
      <w:r w:rsidR="00870B91">
        <w:rPr>
          <w:sz w:val="24"/>
          <w:szCs w:val="24"/>
        </w:rPr>
        <w:t>e</w:t>
      </w:r>
      <w:r w:rsidRPr="5FCC224E">
        <w:rPr>
          <w:sz w:val="24"/>
          <w:szCs w:val="24"/>
        </w:rPr>
        <w:t xml:space="preserve">ktivama koje ovaj jedinstveni program nudi. </w:t>
      </w:r>
    </w:p>
    <w:p w14:paraId="1604390B" w14:textId="3B0D0987" w:rsidR="0025347E" w:rsidRDefault="0025347E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7E335229" w14:textId="1F07F6D3" w:rsidR="0025347E" w:rsidRDefault="0025347E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2184C4B9" w14:textId="5F38094E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poštovanjem, </w:t>
      </w:r>
    </w:p>
    <w:p w14:paraId="7D7BBCDA" w14:textId="104B497C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39E0BF8A" w14:textId="5E189F44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2755E651" w14:textId="77777777" w:rsidR="00870B91" w:rsidRDefault="00870B91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Privredna komora RS </w:t>
      </w:r>
    </w:p>
    <w:p w14:paraId="5B78A300" w14:textId="0CE4F9C0" w:rsidR="009D1362" w:rsidRDefault="00870B91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Tehnički sekretarijat za sprovođenje BFC SEE programa </w:t>
      </w:r>
      <w:proofErr w:type="spellStart"/>
      <w:r>
        <w:rPr>
          <w:rFonts w:cstheme="minorHAnsi"/>
          <w:sz w:val="24"/>
          <w:szCs w:val="24"/>
        </w:rPr>
        <w:t>sertifikacije</w:t>
      </w:r>
      <w:proofErr w:type="spellEnd"/>
      <w:r>
        <w:rPr>
          <w:rFonts w:cstheme="minorHAnsi"/>
          <w:sz w:val="24"/>
          <w:szCs w:val="24"/>
        </w:rPr>
        <w:t xml:space="preserve"> u Republici Srpskoj</w:t>
      </w:r>
    </w:p>
    <w:p w14:paraId="3E120D18" w14:textId="3E5171E5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558D203E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221AD227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79FCDDA8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74D07EC6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7D9C5ECC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72EDB576" w14:textId="77777777" w:rsidR="009D1362" w:rsidRDefault="009D1362" w:rsidP="08677734">
      <w:pPr>
        <w:spacing w:line="20" w:lineRule="atLeast"/>
        <w:contextualSpacing/>
        <w:jc w:val="both"/>
        <w:rPr>
          <w:sz w:val="24"/>
          <w:szCs w:val="24"/>
        </w:rPr>
      </w:pPr>
    </w:p>
    <w:p w14:paraId="16F39CF6" w14:textId="362C2968" w:rsidR="08677734" w:rsidRDefault="08677734" w:rsidP="08677734">
      <w:pPr>
        <w:spacing w:line="20" w:lineRule="atLeast"/>
        <w:contextualSpacing/>
        <w:jc w:val="both"/>
        <w:rPr>
          <w:sz w:val="24"/>
          <w:szCs w:val="24"/>
        </w:rPr>
      </w:pPr>
    </w:p>
    <w:p w14:paraId="351D9E94" w14:textId="22458F54" w:rsidR="08677734" w:rsidRDefault="08677734" w:rsidP="08677734">
      <w:pPr>
        <w:spacing w:line="20" w:lineRule="atLeast"/>
        <w:contextualSpacing/>
        <w:jc w:val="both"/>
        <w:rPr>
          <w:sz w:val="24"/>
          <w:szCs w:val="24"/>
        </w:rPr>
      </w:pPr>
    </w:p>
    <w:p w14:paraId="24576BBA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48CC7BC9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67B5B737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4142BA15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3A7853F4" w14:textId="164AD36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4F9CD91B" w14:textId="77777777" w:rsidR="004E5520" w:rsidRDefault="004E5520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35397F7F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30314FB1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1362" w14:paraId="135B1309" w14:textId="77777777" w:rsidTr="5FCC2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1EC3236" w14:textId="77777777" w:rsidR="0025347E" w:rsidRPr="0025347E" w:rsidRDefault="0025347E" w:rsidP="00763ECF">
            <w:pPr>
              <w:spacing w:line="20" w:lineRule="atLeast"/>
              <w:contextualSpacing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3CA23CFF" w14:textId="5FF555DF" w:rsidR="009D1362" w:rsidRPr="00EE6D6C" w:rsidRDefault="009D1362" w:rsidP="5FCC224E">
            <w:pPr>
              <w:spacing w:line="20" w:lineRule="atLeast"/>
              <w:contextualSpacing/>
              <w:jc w:val="both"/>
              <w:rPr>
                <w:sz w:val="24"/>
                <w:szCs w:val="24"/>
              </w:rPr>
            </w:pPr>
            <w:r w:rsidRPr="5FCC224E">
              <w:rPr>
                <w:sz w:val="24"/>
                <w:szCs w:val="24"/>
              </w:rPr>
              <w:t>SAZNAJTE...</w:t>
            </w:r>
          </w:p>
          <w:p w14:paraId="370AC998" w14:textId="77777777" w:rsidR="009D1362" w:rsidRPr="00EE6D6C" w:rsidRDefault="009D1362" w:rsidP="5FCC224E">
            <w:pPr>
              <w:spacing w:line="20" w:lineRule="atLeast"/>
              <w:contextualSpacing/>
              <w:jc w:val="both"/>
              <w:rPr>
                <w:sz w:val="24"/>
                <w:szCs w:val="24"/>
              </w:rPr>
            </w:pPr>
          </w:p>
          <w:p w14:paraId="33E4A695" w14:textId="266BD322" w:rsidR="009D1362" w:rsidRPr="00EE6D6C" w:rsidRDefault="0056127B" w:rsidP="5FCC224E">
            <w:pPr>
              <w:pStyle w:val="ListParagraph"/>
              <w:numPr>
                <w:ilvl w:val="0"/>
                <w:numId w:val="5"/>
              </w:numPr>
              <w:spacing w:line="20" w:lineRule="atLeast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b w:val="0"/>
                <w:bCs w:val="0"/>
                <w:sz w:val="24"/>
                <w:szCs w:val="24"/>
                <w:lang w:val="sr-Latn-RS"/>
              </w:rPr>
              <w:t>Šta je Partne</w:t>
            </w:r>
            <w:r w:rsidR="009D1362" w:rsidRPr="5FCC224E">
              <w:rPr>
                <w:b w:val="0"/>
                <w:bCs w:val="0"/>
                <w:sz w:val="24"/>
                <w:szCs w:val="24"/>
                <w:lang w:val="sr-Latn-RS"/>
              </w:rPr>
              <w:t xml:space="preserve">rstvo za </w:t>
            </w:r>
            <w:proofErr w:type="spellStart"/>
            <w:r w:rsidR="009D1362" w:rsidRPr="5FCC224E">
              <w:rPr>
                <w:b w:val="0"/>
                <w:bCs w:val="0"/>
                <w:sz w:val="24"/>
                <w:szCs w:val="24"/>
                <w:lang w:val="sr-Latn-RS"/>
              </w:rPr>
              <w:t>konkurentniji</w:t>
            </w:r>
            <w:proofErr w:type="spellEnd"/>
            <w:r w:rsidR="009D1362" w:rsidRPr="5FCC224E">
              <w:rPr>
                <w:b w:val="0"/>
                <w:bCs w:val="0"/>
                <w:sz w:val="24"/>
                <w:szCs w:val="24"/>
                <w:lang w:val="sr-Latn-RS"/>
              </w:rPr>
              <w:t xml:space="preserve"> region?</w:t>
            </w:r>
          </w:p>
          <w:p w14:paraId="65D77E37" w14:textId="77ABA065" w:rsidR="009D1362" w:rsidRPr="00EE6D6C" w:rsidRDefault="00015158" w:rsidP="5FCC224E">
            <w:pPr>
              <w:pStyle w:val="ListParagraph"/>
              <w:numPr>
                <w:ilvl w:val="0"/>
                <w:numId w:val="5"/>
              </w:numPr>
              <w:spacing w:line="20" w:lineRule="atLeast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b w:val="0"/>
                <w:bCs w:val="0"/>
                <w:sz w:val="24"/>
                <w:szCs w:val="24"/>
                <w:lang w:val="sr-Latn-RS"/>
              </w:rPr>
              <w:t>Šta je BFC SEE p</w:t>
            </w:r>
            <w:r w:rsidR="009D1362" w:rsidRPr="5FCC224E">
              <w:rPr>
                <w:b w:val="0"/>
                <w:bCs w:val="0"/>
                <w:sz w:val="24"/>
                <w:szCs w:val="24"/>
                <w:lang w:val="sr-Latn-RS"/>
              </w:rPr>
              <w:t>rogram?</w:t>
            </w:r>
          </w:p>
          <w:p w14:paraId="1711E6E3" w14:textId="77777777" w:rsidR="009D1362" w:rsidRPr="00EE6D6C" w:rsidRDefault="009D1362" w:rsidP="5FCC224E">
            <w:pPr>
              <w:pStyle w:val="ListParagraph"/>
              <w:numPr>
                <w:ilvl w:val="0"/>
                <w:numId w:val="5"/>
              </w:numPr>
              <w:spacing w:line="20" w:lineRule="atLeast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>Koje su prednosti i koristi za BFC SEE gradove i opštine?</w:t>
            </w:r>
          </w:p>
          <w:p w14:paraId="24D36351" w14:textId="399ED10A" w:rsidR="009D1362" w:rsidRPr="00EE6D6C" w:rsidRDefault="00015158" w:rsidP="5FCC224E">
            <w:pPr>
              <w:pStyle w:val="ListParagraph"/>
              <w:numPr>
                <w:ilvl w:val="0"/>
                <w:numId w:val="5"/>
              </w:numPr>
              <w:spacing w:line="20" w:lineRule="atLeast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b w:val="0"/>
                <w:bCs w:val="0"/>
                <w:sz w:val="24"/>
                <w:szCs w:val="24"/>
                <w:lang w:val="sr-Latn-RS"/>
              </w:rPr>
              <w:t>Koliko je BFC SEE p</w:t>
            </w:r>
            <w:r w:rsidR="009D1362" w:rsidRPr="5FCC224E">
              <w:rPr>
                <w:b w:val="0"/>
                <w:bCs w:val="0"/>
                <w:sz w:val="24"/>
                <w:szCs w:val="24"/>
                <w:lang w:val="sr-Latn-RS"/>
              </w:rPr>
              <w:t>rogram atraktivan za opštinu?</w:t>
            </w:r>
          </w:p>
          <w:p w14:paraId="5C95CD87" w14:textId="15FFB49F" w:rsidR="009D1362" w:rsidRPr="00EE6D6C" w:rsidRDefault="009D1362" w:rsidP="5FCC224E">
            <w:pPr>
              <w:pStyle w:val="ListParagraph"/>
              <w:numPr>
                <w:ilvl w:val="0"/>
                <w:numId w:val="5"/>
              </w:numPr>
              <w:spacing w:line="20" w:lineRule="atLeast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 xml:space="preserve">Koji su motivi </w:t>
            </w:r>
            <w:r w:rsidR="00015158">
              <w:rPr>
                <w:b w:val="0"/>
                <w:bCs w:val="0"/>
                <w:sz w:val="24"/>
                <w:szCs w:val="24"/>
                <w:lang w:val="sr-Latn-RS"/>
              </w:rPr>
              <w:t>opštine da učestvuje u BFC SEE p</w:t>
            </w: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>rogramu?</w:t>
            </w:r>
          </w:p>
          <w:p w14:paraId="79FA893C" w14:textId="118F98D2" w:rsidR="009D1362" w:rsidRPr="00EE6D6C" w:rsidRDefault="009D1362" w:rsidP="5FCC224E">
            <w:pPr>
              <w:pStyle w:val="ListParagraph"/>
              <w:numPr>
                <w:ilvl w:val="0"/>
                <w:numId w:val="5"/>
              </w:numPr>
              <w:spacing w:line="20" w:lineRule="atLeast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 xml:space="preserve">Koje su koristi za </w:t>
            </w:r>
            <w:r w:rsidR="00015158">
              <w:rPr>
                <w:b w:val="0"/>
                <w:bCs w:val="0"/>
                <w:sz w:val="24"/>
                <w:szCs w:val="24"/>
                <w:lang w:val="sr-Latn-RS"/>
              </w:rPr>
              <w:t>opštinu od pos</w:t>
            </w:r>
            <w:r w:rsidR="0056127B">
              <w:rPr>
                <w:b w:val="0"/>
                <w:bCs w:val="0"/>
                <w:sz w:val="24"/>
                <w:szCs w:val="24"/>
                <w:lang w:val="sr-Latn-RS"/>
              </w:rPr>
              <w:t>j</w:t>
            </w:r>
            <w:r w:rsidR="00015158">
              <w:rPr>
                <w:b w:val="0"/>
                <w:bCs w:val="0"/>
                <w:sz w:val="24"/>
                <w:szCs w:val="24"/>
                <w:lang w:val="sr-Latn-RS"/>
              </w:rPr>
              <w:t xml:space="preserve">edovanja BFC SEE </w:t>
            </w:r>
            <w:proofErr w:type="spellStart"/>
            <w:r w:rsidR="00015158">
              <w:rPr>
                <w:b w:val="0"/>
                <w:bCs w:val="0"/>
                <w:sz w:val="24"/>
                <w:szCs w:val="24"/>
                <w:lang w:val="sr-Latn-RS"/>
              </w:rPr>
              <w:t>s</w:t>
            </w: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>ertifikata</w:t>
            </w:r>
            <w:proofErr w:type="spellEnd"/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>?</w:t>
            </w:r>
          </w:p>
          <w:p w14:paraId="1B6FB0CB" w14:textId="77777777" w:rsidR="009D1362" w:rsidRPr="00EE6D6C" w:rsidRDefault="009D1362" w:rsidP="5FCC224E">
            <w:pPr>
              <w:pStyle w:val="ListParagraph"/>
              <w:numPr>
                <w:ilvl w:val="0"/>
                <w:numId w:val="5"/>
              </w:numPr>
              <w:spacing w:line="20" w:lineRule="atLeast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>Koje su novine IV edicije BFC SEE standarda?</w:t>
            </w:r>
          </w:p>
          <w:p w14:paraId="26DE281A" w14:textId="56202BEF" w:rsidR="009D1362" w:rsidRPr="00EE6D6C" w:rsidRDefault="009D1362" w:rsidP="5FCC224E">
            <w:pPr>
              <w:pStyle w:val="ListParagraph"/>
              <w:numPr>
                <w:ilvl w:val="0"/>
                <w:numId w:val="5"/>
              </w:numPr>
              <w:spacing w:line="20" w:lineRule="atLeast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>Ko</w:t>
            </w:r>
            <w:r w:rsidR="0056127B">
              <w:rPr>
                <w:b w:val="0"/>
                <w:bCs w:val="0"/>
                <w:sz w:val="24"/>
                <w:szCs w:val="24"/>
                <w:lang w:val="sr-Latn-RS"/>
              </w:rPr>
              <w:t xml:space="preserve">ji su to kriterijumi koje </w:t>
            </w: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 xml:space="preserve">opština mora da ispuni da bi se našla među </w:t>
            </w:r>
            <w:proofErr w:type="spellStart"/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>najusp</w:t>
            </w:r>
            <w:r w:rsidR="0056127B">
              <w:rPr>
                <w:b w:val="0"/>
                <w:bCs w:val="0"/>
                <w:sz w:val="24"/>
                <w:szCs w:val="24"/>
                <w:lang w:val="sr-Latn-RS"/>
              </w:rPr>
              <w:t>j</w:t>
            </w: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>ešnijim</w:t>
            </w:r>
            <w:proofErr w:type="spellEnd"/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 xml:space="preserve"> opštinama u regionu?</w:t>
            </w:r>
          </w:p>
          <w:p w14:paraId="33B52472" w14:textId="19116F01" w:rsidR="009D1362" w:rsidRPr="00EE6D6C" w:rsidRDefault="00671151" w:rsidP="5FCC224E">
            <w:pPr>
              <w:pStyle w:val="ListParagraph"/>
              <w:numPr>
                <w:ilvl w:val="0"/>
                <w:numId w:val="5"/>
              </w:numPr>
              <w:spacing w:line="20" w:lineRule="atLeast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b w:val="0"/>
                <w:bCs w:val="0"/>
                <w:sz w:val="24"/>
                <w:szCs w:val="24"/>
                <w:lang w:val="sr-Latn-RS"/>
              </w:rPr>
              <w:t>Koliko traje proces s</w:t>
            </w:r>
            <w:r w:rsidR="009D1362" w:rsidRPr="5FCC224E">
              <w:rPr>
                <w:b w:val="0"/>
                <w:bCs w:val="0"/>
                <w:sz w:val="24"/>
                <w:szCs w:val="24"/>
                <w:lang w:val="sr-Latn-RS"/>
              </w:rPr>
              <w:t>erti</w:t>
            </w:r>
            <w:r w:rsidR="00015158">
              <w:rPr>
                <w:b w:val="0"/>
                <w:bCs w:val="0"/>
                <w:sz w:val="24"/>
                <w:szCs w:val="24"/>
                <w:lang w:val="sr-Latn-RS"/>
              </w:rPr>
              <w:t>fikacije i koliko važi BFC SEE s</w:t>
            </w:r>
            <w:r w:rsidR="009D1362" w:rsidRPr="5FCC224E">
              <w:rPr>
                <w:b w:val="0"/>
                <w:bCs w:val="0"/>
                <w:sz w:val="24"/>
                <w:szCs w:val="24"/>
                <w:lang w:val="sr-Latn-RS"/>
              </w:rPr>
              <w:t>ertifikat?</w:t>
            </w:r>
          </w:p>
          <w:p w14:paraId="637D7B70" w14:textId="1E0AED58" w:rsidR="009D1362" w:rsidRPr="00EE6D6C" w:rsidRDefault="009D1362" w:rsidP="5FCC224E">
            <w:pPr>
              <w:pStyle w:val="ListParagraph"/>
              <w:numPr>
                <w:ilvl w:val="0"/>
                <w:numId w:val="5"/>
              </w:numPr>
              <w:spacing w:line="20" w:lineRule="atLeast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>Koja je procedu</w:t>
            </w:r>
            <w:r w:rsidR="00015158">
              <w:rPr>
                <w:b w:val="0"/>
                <w:bCs w:val="0"/>
                <w:sz w:val="24"/>
                <w:szCs w:val="24"/>
                <w:lang w:val="sr-Latn-RS"/>
              </w:rPr>
              <w:t>ra za učešće opštine u BFC SEE p</w:t>
            </w:r>
            <w:r w:rsidRPr="5FCC224E">
              <w:rPr>
                <w:b w:val="0"/>
                <w:bCs w:val="0"/>
                <w:sz w:val="24"/>
                <w:szCs w:val="24"/>
                <w:lang w:val="sr-Latn-RS"/>
              </w:rPr>
              <w:t>rogramu?</w:t>
            </w:r>
          </w:p>
          <w:p w14:paraId="4743E954" w14:textId="7EF6F763" w:rsidR="0025347E" w:rsidRPr="0025347E" w:rsidRDefault="0025347E" w:rsidP="00763ECF">
            <w:pPr>
              <w:spacing w:line="20" w:lineRule="atLeast"/>
              <w:contextualSpacing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27F5F9BE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227AADB7" w14:textId="661F45F4" w:rsidR="009D1362" w:rsidRPr="0025347E" w:rsidRDefault="0025347E" w:rsidP="009D1362">
      <w:pPr>
        <w:spacing w:line="20" w:lineRule="atLeast"/>
        <w:contextualSpacing/>
        <w:jc w:val="center"/>
        <w:rPr>
          <w:rFonts w:cstheme="minorHAnsi"/>
          <w:b/>
          <w:bCs/>
          <w:color w:val="00B0F0"/>
          <w:sz w:val="28"/>
          <w:szCs w:val="28"/>
        </w:rPr>
      </w:pPr>
      <w:r w:rsidRPr="0025347E">
        <w:rPr>
          <w:rFonts w:cstheme="minorHAnsi"/>
          <w:b/>
          <w:bCs/>
          <w:color w:val="00B0F0"/>
          <w:sz w:val="28"/>
          <w:szCs w:val="28"/>
        </w:rPr>
        <w:t>ŠTA JE PARTNERSTVO ZA KONKURENTNIJI REGION?</w:t>
      </w:r>
    </w:p>
    <w:p w14:paraId="57670817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26AE468E" w14:textId="5175AFC4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sz w:val="24"/>
          <w:szCs w:val="24"/>
        </w:rPr>
        <w:t>Partnerstvo za konkurentni region (</w:t>
      </w:r>
      <w:r>
        <w:rPr>
          <w:rFonts w:cstheme="minorHAnsi"/>
          <w:sz w:val="24"/>
          <w:szCs w:val="24"/>
        </w:rPr>
        <w:t xml:space="preserve">KOR Partnerstvo / </w:t>
      </w:r>
      <w:r w:rsidRPr="005000B3">
        <w:rPr>
          <w:rFonts w:cstheme="minorHAnsi"/>
          <w:sz w:val="24"/>
          <w:szCs w:val="24"/>
        </w:rPr>
        <w:t xml:space="preserve">CORE Partnership) sa preko 20 institucija i organizacija iz regiona jugoistočne Evrope </w:t>
      </w:r>
      <w:r>
        <w:rPr>
          <w:rFonts w:cstheme="minorHAnsi"/>
          <w:sz w:val="24"/>
          <w:szCs w:val="24"/>
        </w:rPr>
        <w:t xml:space="preserve">predstavlja </w:t>
      </w:r>
      <w:r w:rsidRPr="005000B3">
        <w:rPr>
          <w:rFonts w:cstheme="minorHAnsi"/>
          <w:sz w:val="24"/>
          <w:szCs w:val="24"/>
        </w:rPr>
        <w:t>jedinstven</w:t>
      </w:r>
      <w:r>
        <w:rPr>
          <w:rFonts w:cstheme="minorHAnsi"/>
          <w:sz w:val="24"/>
          <w:szCs w:val="24"/>
        </w:rPr>
        <w:t>u</w:t>
      </w:r>
      <w:r w:rsidRPr="005000B3">
        <w:rPr>
          <w:rFonts w:cstheme="minorHAnsi"/>
          <w:sz w:val="24"/>
          <w:szCs w:val="24"/>
        </w:rPr>
        <w:t xml:space="preserve"> platform</w:t>
      </w:r>
      <w:r>
        <w:rPr>
          <w:rFonts w:cstheme="minorHAnsi"/>
          <w:sz w:val="24"/>
          <w:szCs w:val="24"/>
        </w:rPr>
        <w:t>u</w:t>
      </w:r>
      <w:r w:rsidRPr="005000B3">
        <w:rPr>
          <w:rFonts w:cstheme="minorHAnsi"/>
          <w:sz w:val="24"/>
          <w:szCs w:val="24"/>
        </w:rPr>
        <w:t xml:space="preserve"> i mehanizam koji omogućava regionalnu saradnju i razm</w:t>
      </w:r>
      <w:r w:rsidR="00015158">
        <w:rPr>
          <w:rFonts w:cstheme="minorHAnsi"/>
          <w:sz w:val="24"/>
          <w:szCs w:val="24"/>
        </w:rPr>
        <w:t>j</w:t>
      </w:r>
      <w:r w:rsidRPr="005000B3">
        <w:rPr>
          <w:rFonts w:cstheme="minorHAnsi"/>
          <w:sz w:val="24"/>
          <w:szCs w:val="24"/>
        </w:rPr>
        <w:t xml:space="preserve">enu znanja o implementaciji reformskih procesa u cilju unapređenja uslova poslovanja, ubrzanog privrednog rasta i </w:t>
      </w:r>
      <w:proofErr w:type="spellStart"/>
      <w:r w:rsidRPr="005000B3">
        <w:rPr>
          <w:rFonts w:cstheme="minorHAnsi"/>
          <w:sz w:val="24"/>
          <w:szCs w:val="24"/>
        </w:rPr>
        <w:t>posp</w:t>
      </w:r>
      <w:r w:rsidR="00015158">
        <w:rPr>
          <w:rFonts w:cstheme="minorHAnsi"/>
          <w:sz w:val="24"/>
          <w:szCs w:val="24"/>
        </w:rPr>
        <w:t>j</w:t>
      </w:r>
      <w:r w:rsidRPr="005000B3">
        <w:rPr>
          <w:rFonts w:cstheme="minorHAnsi"/>
          <w:sz w:val="24"/>
          <w:szCs w:val="24"/>
        </w:rPr>
        <w:t>ešivanja</w:t>
      </w:r>
      <w:proofErr w:type="spellEnd"/>
      <w:r w:rsidRPr="005000B3">
        <w:rPr>
          <w:rFonts w:cstheme="minorHAnsi"/>
          <w:sz w:val="24"/>
          <w:szCs w:val="24"/>
        </w:rPr>
        <w:t xml:space="preserve"> procesa evropskih integracija. </w:t>
      </w:r>
    </w:p>
    <w:p w14:paraId="06D57428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45D5C958" w14:textId="5B860868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Kao nadogradnja</w:t>
      </w:r>
      <w:r w:rsidRPr="005000B3">
        <w:rPr>
          <w:rFonts w:cstheme="minorHAnsi"/>
          <w:sz w:val="24"/>
          <w:szCs w:val="24"/>
        </w:rPr>
        <w:t xml:space="preserve"> BFC SEE Mreže za povoljno poslovno okruženje u jugoistočnoj Evropi </w:t>
      </w:r>
      <w:r>
        <w:rPr>
          <w:rFonts w:cstheme="minorHAnsi"/>
          <w:sz w:val="24"/>
          <w:szCs w:val="24"/>
        </w:rPr>
        <w:t>ova platforma</w:t>
      </w:r>
      <w:r w:rsidRPr="005000B3">
        <w:rPr>
          <w:rFonts w:cstheme="minorHAnsi"/>
          <w:sz w:val="24"/>
          <w:szCs w:val="24"/>
        </w:rPr>
        <w:t xml:space="preserve"> je inspirisala brojne regionalne inicijative i implementirala projekte u vr</w:t>
      </w:r>
      <w:r w:rsidR="00015158">
        <w:rPr>
          <w:rFonts w:cstheme="minorHAnsi"/>
          <w:sz w:val="24"/>
          <w:szCs w:val="24"/>
        </w:rPr>
        <w:t>ij</w:t>
      </w:r>
      <w:r w:rsidRPr="005000B3">
        <w:rPr>
          <w:rFonts w:cstheme="minorHAnsi"/>
          <w:sz w:val="24"/>
          <w:szCs w:val="24"/>
        </w:rPr>
        <w:t>ednosti od preko 7 miliona evra, uz podršku ključnih međunarodnih institucija (GIZ, SDC, USAID, SIDA,RCC,EBRD, World Bank), kao i privatnih partnera.</w:t>
      </w:r>
    </w:p>
    <w:p w14:paraId="359A1241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72BB26EB" w14:textId="2AE4CB5F" w:rsidR="009D1362" w:rsidRDefault="00015158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Pored BFC SEE p</w:t>
      </w:r>
      <w:r w:rsidR="009D1362" w:rsidRPr="005000B3">
        <w:rPr>
          <w:rFonts w:cstheme="minorHAnsi"/>
          <w:sz w:val="24"/>
          <w:szCs w:val="24"/>
        </w:rPr>
        <w:t>rograma koji se sa velikim usp</w:t>
      </w:r>
      <w:r>
        <w:rPr>
          <w:rFonts w:cstheme="minorHAnsi"/>
          <w:sz w:val="24"/>
          <w:szCs w:val="24"/>
        </w:rPr>
        <w:t>j</w:t>
      </w:r>
      <w:r w:rsidR="009D1362" w:rsidRPr="005000B3">
        <w:rPr>
          <w:rFonts w:cstheme="minorHAnsi"/>
          <w:sz w:val="24"/>
          <w:szCs w:val="24"/>
        </w:rPr>
        <w:t>ehom sprovodi više od 10 godina, ključne aktivnosti KOR Partnerstva čine razm</w:t>
      </w:r>
      <w:r w:rsidR="0056127B">
        <w:rPr>
          <w:rFonts w:cstheme="minorHAnsi"/>
          <w:sz w:val="24"/>
          <w:szCs w:val="24"/>
        </w:rPr>
        <w:t>j</w:t>
      </w:r>
      <w:r w:rsidR="009D1362" w:rsidRPr="005000B3">
        <w:rPr>
          <w:rFonts w:cstheme="minorHAnsi"/>
          <w:sz w:val="24"/>
          <w:szCs w:val="24"/>
        </w:rPr>
        <w:t>ena dobrih praksi i iniciranje reformi za bolje poslovno okruženje u oblasti elektronskih građevinskih dozvola, angažovan</w:t>
      </w:r>
      <w:r>
        <w:rPr>
          <w:rFonts w:cstheme="minorHAnsi"/>
          <w:sz w:val="24"/>
          <w:szCs w:val="24"/>
        </w:rPr>
        <w:t>j</w:t>
      </w:r>
      <w:r w:rsidR="009D1362" w:rsidRPr="005000B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sezonskih radnika, kao i podrške</w:t>
      </w:r>
      <w:r w:rsidR="009D1362" w:rsidRPr="005000B3">
        <w:rPr>
          <w:rFonts w:cstheme="minorHAnsi"/>
          <w:sz w:val="24"/>
          <w:szCs w:val="24"/>
        </w:rPr>
        <w:t xml:space="preserve"> razvojnih </w:t>
      </w:r>
      <w:proofErr w:type="spellStart"/>
      <w:r w:rsidR="009D1362" w:rsidRPr="005000B3">
        <w:rPr>
          <w:rFonts w:cstheme="minorHAnsi"/>
          <w:sz w:val="24"/>
          <w:szCs w:val="24"/>
        </w:rPr>
        <w:t>partnerstava</w:t>
      </w:r>
      <w:proofErr w:type="spellEnd"/>
      <w:r w:rsidR="009D1362" w:rsidRPr="005000B3">
        <w:rPr>
          <w:rFonts w:cstheme="minorHAnsi"/>
          <w:sz w:val="24"/>
          <w:szCs w:val="24"/>
        </w:rPr>
        <w:t xml:space="preserve"> između javnog i privatnog sektora.</w:t>
      </w:r>
    </w:p>
    <w:p w14:paraId="10D10760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5347E" w:rsidRPr="0025347E" w14:paraId="455C187D" w14:textId="77777777" w:rsidTr="5FCC2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341BC1D" w14:textId="77777777" w:rsidR="00FF1E5F" w:rsidRPr="00DC0906" w:rsidRDefault="00FF1E5F" w:rsidP="00763ECF">
            <w:pPr>
              <w:spacing w:line="20" w:lineRule="atLeast"/>
              <w:contextualSpacing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3E14A70C" w14:textId="20D54A11" w:rsidR="009D1362" w:rsidRPr="00DC0906" w:rsidRDefault="00015158" w:rsidP="5FCC224E">
            <w:pPr>
              <w:spacing w:line="2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Prednosti KOR p</w:t>
            </w:r>
            <w:r w:rsidR="009D1362" w:rsidRPr="5FCC224E">
              <w:rPr>
                <w:sz w:val="24"/>
                <w:szCs w:val="24"/>
              </w:rPr>
              <w:t>artnerstva</w:t>
            </w:r>
          </w:p>
          <w:p w14:paraId="3959418A" w14:textId="77777777" w:rsidR="009D1362" w:rsidRPr="00DC0906" w:rsidRDefault="009D1362" w:rsidP="00763ECF">
            <w:pPr>
              <w:spacing w:line="20" w:lineRule="atLeast"/>
              <w:contextualSpacing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30341E3B" w14:textId="7F6FFDFD" w:rsidR="009D1362" w:rsidRPr="00DC0906" w:rsidRDefault="009D1362" w:rsidP="009D1362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 xml:space="preserve">Usaglašavanje i unapređenje uslova poslovanja u </w:t>
            </w:r>
            <w:r w:rsid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regionu jugoistočne Evrope</w:t>
            </w:r>
          </w:p>
          <w:p w14:paraId="5A7881C4" w14:textId="0D431D3D" w:rsidR="009D1362" w:rsidRPr="00DC0906" w:rsidRDefault="009D1362" w:rsidP="009D1362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Identifikovanje i replikacija najboljih praksi EU i regiona</w:t>
            </w:r>
          </w:p>
          <w:p w14:paraId="5C172F37" w14:textId="6EFFBE2A" w:rsidR="009D1362" w:rsidRPr="00DC0906" w:rsidRDefault="009D1362" w:rsidP="009D1362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Prenos dobrih praksi čija prim</w:t>
            </w:r>
            <w:r w:rsidR="00015158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j</w:t>
            </w: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 xml:space="preserve">ena doprinosi porastu pozicije na </w:t>
            </w:r>
            <w:proofErr w:type="spellStart"/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sv</w:t>
            </w:r>
            <w:r w:rsidR="00015158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j</w:t>
            </w: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etskim</w:t>
            </w:r>
            <w:proofErr w:type="spellEnd"/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 xml:space="preserve"> listama konkurentnosti</w:t>
            </w:r>
          </w:p>
          <w:p w14:paraId="007B4A38" w14:textId="57A9BC6E" w:rsidR="009D1362" w:rsidRPr="00DC0906" w:rsidRDefault="009D1362" w:rsidP="009D1362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Jačanje imidža jugoistočne Evrope kao investicione destinacije kroz zajednički pečat kvaliteta</w:t>
            </w:r>
          </w:p>
          <w:p w14:paraId="14DAF5C7" w14:textId="642F52F5" w:rsidR="009D1362" w:rsidRPr="00DC0906" w:rsidRDefault="009D1362" w:rsidP="009D1362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Podsticanje ekonomske saradnje i razm</w:t>
            </w:r>
            <w:r w:rsidR="00015158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j</w:t>
            </w: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ene, privlačenje novih investicija u region</w:t>
            </w:r>
          </w:p>
          <w:p w14:paraId="2F1385F2" w14:textId="77777777" w:rsidR="009D1362" w:rsidRPr="00DC0906" w:rsidRDefault="009D1362" w:rsidP="009D1362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Jačanje konkurentnosti opština i rangiranje na međunarodnim listama (Financial Times)</w:t>
            </w:r>
          </w:p>
          <w:p w14:paraId="1B06722A" w14:textId="1F3CB0DA" w:rsidR="009D1362" w:rsidRPr="00DC0906" w:rsidRDefault="00015158" w:rsidP="009D1362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 xml:space="preserve">Promocija </w:t>
            </w:r>
            <w:proofErr w:type="spellStart"/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s</w:t>
            </w:r>
            <w:r w:rsidR="009D1362"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ertifikovanih</w:t>
            </w:r>
            <w:proofErr w:type="spellEnd"/>
            <w:r w:rsidR="009D1362"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 xml:space="preserve"> opština i izgradnja prepoznatljivosti na nacionalnom i međunarodnom nivou</w:t>
            </w:r>
          </w:p>
          <w:p w14:paraId="61567DE6" w14:textId="77777777" w:rsidR="009D1362" w:rsidRPr="00DC0906" w:rsidRDefault="009D1362" w:rsidP="009D1362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Identifikovanje sredina koje imaju najveći potencijal za razvoj i ulaganje – od strane države, donatora i investitora</w:t>
            </w:r>
          </w:p>
          <w:p w14:paraId="4E28D16F" w14:textId="77777777" w:rsidR="009D1362" w:rsidRPr="00DC0906" w:rsidRDefault="009D1362" w:rsidP="009D1362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Podrška nacionalnih i međunarodnih institucija i donatora</w:t>
            </w:r>
          </w:p>
          <w:p w14:paraId="2A76804C" w14:textId="77777777" w:rsidR="009D1362" w:rsidRPr="00DC0906" w:rsidRDefault="009D1362" w:rsidP="009D1362">
            <w:pPr>
              <w:pStyle w:val="ListParagraph"/>
              <w:numPr>
                <w:ilvl w:val="0"/>
                <w:numId w:val="6"/>
              </w:numPr>
              <w:spacing w:after="200" w:line="20" w:lineRule="atLeast"/>
              <w:jc w:val="both"/>
              <w:rPr>
                <w:rFonts w:eastAsia="Calibri"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DC090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Privilegovan položaj i dodatne mogućnosti u pogledu uvođenja inovativnih modela saradnje privatnog i javnog sektora (DeveloPPP) koji doprinose sveukupnom razvoju lokalne zajednice</w:t>
            </w:r>
          </w:p>
          <w:p w14:paraId="0EF76EA3" w14:textId="1BDA8D96" w:rsidR="00FF1E5F" w:rsidRPr="00DC0906" w:rsidRDefault="00FF1E5F" w:rsidP="00FF1E5F">
            <w:pPr>
              <w:pStyle w:val="ListParagraph"/>
              <w:spacing w:after="200" w:line="20" w:lineRule="atLeast"/>
              <w:jc w:val="both"/>
              <w:rPr>
                <w:rFonts w:eastAsia="Calibri" w:cstheme="minorHAnsi"/>
                <w:b w:val="0"/>
                <w:bCs w:val="0"/>
                <w:sz w:val="24"/>
                <w:szCs w:val="24"/>
                <w:lang w:val="sr-Latn-RS"/>
              </w:rPr>
            </w:pPr>
          </w:p>
        </w:tc>
      </w:tr>
    </w:tbl>
    <w:p w14:paraId="335B1CEE" w14:textId="7C698C18" w:rsidR="009D1362" w:rsidRPr="00FF1E5F" w:rsidRDefault="00FF1E5F" w:rsidP="009D1362">
      <w:pPr>
        <w:spacing w:line="20" w:lineRule="atLeast"/>
        <w:contextualSpacing/>
        <w:jc w:val="center"/>
        <w:rPr>
          <w:rFonts w:cstheme="minorHAnsi"/>
          <w:b/>
          <w:bCs/>
          <w:color w:val="00B0F0"/>
          <w:sz w:val="28"/>
          <w:szCs w:val="28"/>
        </w:rPr>
      </w:pPr>
      <w:r w:rsidRPr="00FF1E5F">
        <w:rPr>
          <w:rFonts w:cstheme="minorHAnsi"/>
          <w:b/>
          <w:bCs/>
          <w:color w:val="00B0F0"/>
          <w:sz w:val="28"/>
          <w:szCs w:val="28"/>
        </w:rPr>
        <w:lastRenderedPageBreak/>
        <w:t>ŠTA JE BFC SEE PROGRAM?</w:t>
      </w:r>
    </w:p>
    <w:p w14:paraId="4971AE0D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292F0F87" w14:textId="4FFFC709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sz w:val="24"/>
          <w:szCs w:val="24"/>
        </w:rPr>
        <w:t>BFC SEE predstavlja jedinstveni program za poboljšanje i usklađivanje uslova za poslovanje</w:t>
      </w:r>
      <w:r>
        <w:rPr>
          <w:rFonts w:cstheme="minorHAnsi"/>
          <w:sz w:val="24"/>
          <w:szCs w:val="24"/>
        </w:rPr>
        <w:t>,</w:t>
      </w:r>
      <w:r w:rsidRPr="005000B3">
        <w:rPr>
          <w:rFonts w:cstheme="minorHAnsi"/>
          <w:sz w:val="24"/>
          <w:szCs w:val="24"/>
        </w:rPr>
        <w:t xml:space="preserve"> koji podstiče i omogućava povezivanje i saradnju između </w:t>
      </w:r>
      <w:proofErr w:type="spellStart"/>
      <w:r w:rsidRPr="005000B3">
        <w:rPr>
          <w:rFonts w:cstheme="minorHAnsi"/>
          <w:sz w:val="24"/>
          <w:szCs w:val="24"/>
        </w:rPr>
        <w:t>najusp</w:t>
      </w:r>
      <w:r w:rsidR="00B06AB1">
        <w:rPr>
          <w:rFonts w:cstheme="minorHAnsi"/>
          <w:sz w:val="24"/>
          <w:szCs w:val="24"/>
        </w:rPr>
        <w:t>j</w:t>
      </w:r>
      <w:r w:rsidRPr="005000B3">
        <w:rPr>
          <w:rFonts w:cstheme="minorHAnsi"/>
          <w:sz w:val="24"/>
          <w:szCs w:val="24"/>
        </w:rPr>
        <w:t>ešnijih</w:t>
      </w:r>
      <w:proofErr w:type="spellEnd"/>
      <w:r w:rsidRPr="005000B3">
        <w:rPr>
          <w:rFonts w:cstheme="minorHAnsi"/>
          <w:sz w:val="24"/>
          <w:szCs w:val="24"/>
        </w:rPr>
        <w:t xml:space="preserve"> gradova i opština, sa ciljem privlačenja novih investicija u region jugoistočne Evrope. </w:t>
      </w:r>
    </w:p>
    <w:p w14:paraId="0D73699D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1FA76F06" w14:textId="2283888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5000B3">
        <w:rPr>
          <w:rFonts w:cstheme="minorHAnsi"/>
          <w:bCs/>
          <w:sz w:val="24"/>
          <w:szCs w:val="24"/>
        </w:rPr>
        <w:t xml:space="preserve">Program je baziran na principima dobre i efikasne uprave i </w:t>
      </w:r>
      <w:proofErr w:type="spellStart"/>
      <w:r w:rsidRPr="005000B3">
        <w:rPr>
          <w:rFonts w:cstheme="minorHAnsi"/>
          <w:bCs/>
          <w:sz w:val="24"/>
          <w:szCs w:val="24"/>
        </w:rPr>
        <w:t>nam</w:t>
      </w:r>
      <w:r w:rsidR="00B06AB1">
        <w:rPr>
          <w:rFonts w:cstheme="minorHAnsi"/>
          <w:bCs/>
          <w:sz w:val="24"/>
          <w:szCs w:val="24"/>
        </w:rPr>
        <w:t>j</w:t>
      </w:r>
      <w:r w:rsidRPr="005000B3">
        <w:rPr>
          <w:rFonts w:cstheme="minorHAnsi"/>
          <w:bCs/>
          <w:sz w:val="24"/>
          <w:szCs w:val="24"/>
        </w:rPr>
        <w:t>enjen</w:t>
      </w:r>
      <w:proofErr w:type="spellEnd"/>
      <w:r w:rsidRPr="005000B3">
        <w:rPr>
          <w:rFonts w:cstheme="minorHAnsi"/>
          <w:bCs/>
          <w:sz w:val="24"/>
          <w:szCs w:val="24"/>
        </w:rPr>
        <w:t xml:space="preserve"> je lokalnim samoupravama koje zauzimaju proaktivan pristup u razvoju svojih investicionih potencijala.</w:t>
      </w:r>
    </w:p>
    <w:p w14:paraId="755AFB7D" w14:textId="19A25020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02E89985" w14:textId="77777777" w:rsidR="00490568" w:rsidRPr="005000B3" w:rsidRDefault="00490568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E6EE119" w14:textId="4279BEAB" w:rsidR="009D1362" w:rsidRPr="00FF1E5F" w:rsidRDefault="00FF1E5F" w:rsidP="009D1362">
      <w:pPr>
        <w:spacing w:line="20" w:lineRule="atLeast"/>
        <w:contextualSpacing/>
        <w:jc w:val="center"/>
        <w:rPr>
          <w:rFonts w:cstheme="minorHAnsi"/>
          <w:b/>
          <w:bCs/>
          <w:color w:val="00B0F0"/>
          <w:sz w:val="28"/>
          <w:szCs w:val="28"/>
        </w:rPr>
      </w:pPr>
      <w:r w:rsidRPr="00FF1E5F">
        <w:rPr>
          <w:rFonts w:cstheme="minorHAnsi"/>
          <w:b/>
          <w:bCs/>
          <w:color w:val="00B0F0"/>
          <w:sz w:val="28"/>
          <w:szCs w:val="28"/>
        </w:rPr>
        <w:t>KOJE SU PREDNOSTI BFC SEE PROGRAMA?</w:t>
      </w:r>
    </w:p>
    <w:p w14:paraId="3EBE4B22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499C2C03" w14:textId="5CE63CAF" w:rsidR="009D1362" w:rsidRPr="005000B3" w:rsidRDefault="4CE003F5" w:rsidP="7A06A0C2">
      <w:pPr>
        <w:spacing w:line="20" w:lineRule="atLeast"/>
        <w:contextualSpacing/>
        <w:jc w:val="both"/>
        <w:rPr>
          <w:sz w:val="24"/>
          <w:szCs w:val="24"/>
        </w:rPr>
      </w:pPr>
      <w:r w:rsidRPr="52B0630C">
        <w:rPr>
          <w:sz w:val="24"/>
          <w:szCs w:val="24"/>
        </w:rPr>
        <w:t>Program pruža opštinama i gradovima jasne sm</w:t>
      </w:r>
      <w:r w:rsidR="00015158">
        <w:rPr>
          <w:sz w:val="24"/>
          <w:szCs w:val="24"/>
        </w:rPr>
        <w:t>j</w:t>
      </w:r>
      <w:r w:rsidRPr="52B0630C">
        <w:rPr>
          <w:sz w:val="24"/>
          <w:szCs w:val="24"/>
        </w:rPr>
        <w:t>er</w:t>
      </w:r>
      <w:bookmarkStart w:id="0" w:name="_GoBack"/>
      <w:bookmarkEnd w:id="0"/>
      <w:r w:rsidRPr="52B0630C">
        <w:rPr>
          <w:sz w:val="24"/>
          <w:szCs w:val="24"/>
        </w:rPr>
        <w:t xml:space="preserve">nice o tome kako da </w:t>
      </w:r>
      <w:proofErr w:type="spellStart"/>
      <w:r w:rsidR="76743BAE" w:rsidRPr="52B0630C">
        <w:rPr>
          <w:sz w:val="24"/>
          <w:szCs w:val="24"/>
        </w:rPr>
        <w:t>unapr</w:t>
      </w:r>
      <w:r w:rsidR="00A520C2">
        <w:rPr>
          <w:sz w:val="24"/>
          <w:szCs w:val="24"/>
        </w:rPr>
        <w:t>j</w:t>
      </w:r>
      <w:r w:rsidR="76743BAE" w:rsidRPr="52B0630C">
        <w:rPr>
          <w:sz w:val="24"/>
          <w:szCs w:val="24"/>
        </w:rPr>
        <w:t>ede</w:t>
      </w:r>
      <w:proofErr w:type="spellEnd"/>
      <w:r w:rsidR="76743BAE" w:rsidRPr="52B0630C">
        <w:rPr>
          <w:sz w:val="24"/>
          <w:szCs w:val="24"/>
        </w:rPr>
        <w:t xml:space="preserve"> svoje performanse, nivo kvaliteta i efikasnosti usluga prema privatnom sektoru</w:t>
      </w:r>
      <w:r w:rsidRPr="52B0630C">
        <w:rPr>
          <w:sz w:val="24"/>
          <w:szCs w:val="24"/>
        </w:rPr>
        <w:t xml:space="preserve">, </w:t>
      </w:r>
      <w:r w:rsidR="5C8410FE" w:rsidRPr="52B0630C">
        <w:rPr>
          <w:sz w:val="24"/>
          <w:szCs w:val="24"/>
        </w:rPr>
        <w:t xml:space="preserve">kao i konkurentnost </w:t>
      </w:r>
      <w:r w:rsidR="609186F9" w:rsidRPr="52B0630C">
        <w:rPr>
          <w:sz w:val="24"/>
          <w:szCs w:val="24"/>
        </w:rPr>
        <w:t>l</w:t>
      </w:r>
      <w:r w:rsidR="009D1362" w:rsidRPr="52B0630C">
        <w:rPr>
          <w:sz w:val="24"/>
          <w:szCs w:val="24"/>
        </w:rPr>
        <w:t xml:space="preserve">okalne privrede na regionalnom i međunarodnom nivou. </w:t>
      </w:r>
    </w:p>
    <w:p w14:paraId="6A29160C" w14:textId="77777777" w:rsidR="009D1362" w:rsidRPr="005000B3" w:rsidRDefault="009D1362" w:rsidP="232F604A">
      <w:pPr>
        <w:spacing w:line="20" w:lineRule="atLeast"/>
        <w:contextualSpacing/>
        <w:jc w:val="both"/>
        <w:rPr>
          <w:sz w:val="24"/>
          <w:szCs w:val="24"/>
        </w:rPr>
      </w:pPr>
    </w:p>
    <w:p w14:paraId="364A09E1" w14:textId="55993234" w:rsidR="1E2A73F0" w:rsidRDefault="6CC74F0A" w:rsidP="232F604A">
      <w:pPr>
        <w:spacing w:line="20" w:lineRule="atLeast"/>
        <w:contextualSpacing/>
        <w:jc w:val="both"/>
        <w:rPr>
          <w:sz w:val="24"/>
          <w:szCs w:val="24"/>
        </w:rPr>
      </w:pPr>
      <w:r w:rsidRPr="7A06A0C2">
        <w:rPr>
          <w:sz w:val="24"/>
          <w:szCs w:val="24"/>
        </w:rPr>
        <w:t>P</w:t>
      </w:r>
      <w:r w:rsidR="1E2A73F0" w:rsidRPr="7A06A0C2">
        <w:rPr>
          <w:sz w:val="24"/>
          <w:szCs w:val="24"/>
        </w:rPr>
        <w:t>rivred</w:t>
      </w:r>
      <w:r w:rsidR="6672F3D7" w:rsidRPr="7A06A0C2">
        <w:rPr>
          <w:sz w:val="24"/>
          <w:szCs w:val="24"/>
        </w:rPr>
        <w:t xml:space="preserve">i </w:t>
      </w:r>
      <w:r w:rsidR="1E2A73F0" w:rsidRPr="7A06A0C2">
        <w:rPr>
          <w:sz w:val="24"/>
          <w:szCs w:val="24"/>
        </w:rPr>
        <w:t>i investitor</w:t>
      </w:r>
      <w:r w:rsidR="2E46E03B" w:rsidRPr="7A06A0C2">
        <w:rPr>
          <w:sz w:val="24"/>
          <w:szCs w:val="24"/>
        </w:rPr>
        <w:t>ima</w:t>
      </w:r>
      <w:r w:rsidR="00E345BF">
        <w:rPr>
          <w:sz w:val="24"/>
          <w:szCs w:val="24"/>
        </w:rPr>
        <w:t>,</w:t>
      </w:r>
      <w:r w:rsidR="1E2A73F0" w:rsidRPr="7A06A0C2">
        <w:rPr>
          <w:sz w:val="24"/>
          <w:szCs w:val="24"/>
        </w:rPr>
        <w:t xml:space="preserve"> koji žele da presele ili prošire svoje poslovanje</w:t>
      </w:r>
      <w:r w:rsidR="00E345BF">
        <w:rPr>
          <w:sz w:val="24"/>
          <w:szCs w:val="24"/>
        </w:rPr>
        <w:t>,</w:t>
      </w:r>
      <w:r w:rsidR="1E2A73F0" w:rsidRPr="7A06A0C2">
        <w:rPr>
          <w:sz w:val="24"/>
          <w:szCs w:val="24"/>
        </w:rPr>
        <w:t xml:space="preserve"> BFC SEE </w:t>
      </w:r>
      <w:proofErr w:type="spellStart"/>
      <w:r w:rsidR="1E2A73F0" w:rsidRPr="7A06A0C2">
        <w:rPr>
          <w:sz w:val="24"/>
          <w:szCs w:val="24"/>
        </w:rPr>
        <w:t>obezb</w:t>
      </w:r>
      <w:r w:rsidR="00E345BF">
        <w:rPr>
          <w:sz w:val="24"/>
          <w:szCs w:val="24"/>
        </w:rPr>
        <w:t>j</w:t>
      </w:r>
      <w:r w:rsidR="1E2A73F0" w:rsidRPr="7A06A0C2">
        <w:rPr>
          <w:sz w:val="24"/>
          <w:szCs w:val="24"/>
        </w:rPr>
        <w:t>eđuje</w:t>
      </w:r>
      <w:proofErr w:type="spellEnd"/>
      <w:r w:rsidR="1E2A73F0" w:rsidRPr="7A06A0C2">
        <w:rPr>
          <w:sz w:val="24"/>
          <w:szCs w:val="24"/>
        </w:rPr>
        <w:t xml:space="preserve"> stabilno i predvidivo poslovno okruženje i pomaže u identifikovanju opština i gradova koji nude najbolje uslove za ulaganje i imaju najveći potencijal za razvoj</w:t>
      </w:r>
      <w:r w:rsidR="6C713899" w:rsidRPr="7A06A0C2">
        <w:rPr>
          <w:sz w:val="24"/>
          <w:szCs w:val="24"/>
        </w:rPr>
        <w:t xml:space="preserve"> u jugoistočnoj Evropi</w:t>
      </w:r>
      <w:r w:rsidR="1E2A73F0" w:rsidRPr="7A06A0C2">
        <w:rPr>
          <w:sz w:val="24"/>
          <w:szCs w:val="24"/>
        </w:rPr>
        <w:t>.</w:t>
      </w:r>
    </w:p>
    <w:p w14:paraId="2FACFEF6" w14:textId="6C63F53A" w:rsidR="232F604A" w:rsidRDefault="232F604A" w:rsidP="232F604A">
      <w:pPr>
        <w:spacing w:line="20" w:lineRule="atLeast"/>
        <w:contextualSpacing/>
        <w:jc w:val="both"/>
        <w:rPr>
          <w:sz w:val="24"/>
          <w:szCs w:val="24"/>
        </w:rPr>
      </w:pPr>
    </w:p>
    <w:p w14:paraId="453FC8D7" w14:textId="18248586" w:rsidR="009D1362" w:rsidRDefault="00E345BF" w:rsidP="232F604A">
      <w:pPr>
        <w:spacing w:line="2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BFC SEE p</w:t>
      </w:r>
      <w:r w:rsidR="009D1362" w:rsidRPr="7A06A0C2">
        <w:rPr>
          <w:sz w:val="24"/>
          <w:szCs w:val="24"/>
        </w:rPr>
        <w:t>rogram pre</w:t>
      </w:r>
      <w:r>
        <w:rPr>
          <w:sz w:val="24"/>
          <w:szCs w:val="24"/>
        </w:rPr>
        <w:t xml:space="preserve">dstavlja jasan signal koje opštine i gradovi </w:t>
      </w:r>
      <w:r w:rsidR="009D1362" w:rsidRPr="7A06A0C2">
        <w:rPr>
          <w:sz w:val="24"/>
          <w:szCs w:val="24"/>
        </w:rPr>
        <w:t>imaju potencijala za LER i koje bi trebalo dalje podsticati u stvaranju boljeg poslovnog ambijenta.</w:t>
      </w:r>
    </w:p>
    <w:p w14:paraId="5E34A48B" w14:textId="23902689" w:rsidR="7A06A0C2" w:rsidRDefault="7A06A0C2" w:rsidP="7A06A0C2">
      <w:pPr>
        <w:spacing w:line="20" w:lineRule="atLeast"/>
        <w:contextualSpacing/>
        <w:jc w:val="both"/>
        <w:rPr>
          <w:sz w:val="24"/>
          <w:szCs w:val="24"/>
        </w:rPr>
      </w:pPr>
    </w:p>
    <w:p w14:paraId="3B6B3D73" w14:textId="7933D783" w:rsidR="46A6260B" w:rsidRDefault="73DEA741" w:rsidP="7A06A0C2">
      <w:pPr>
        <w:spacing w:line="20" w:lineRule="atLeast"/>
        <w:contextualSpacing/>
        <w:jc w:val="both"/>
        <w:rPr>
          <w:sz w:val="24"/>
          <w:szCs w:val="24"/>
        </w:rPr>
      </w:pPr>
      <w:r w:rsidRPr="2A3F4FF8">
        <w:rPr>
          <w:sz w:val="24"/>
          <w:szCs w:val="24"/>
        </w:rPr>
        <w:t>Na regionalnom nivou, kroz</w:t>
      </w:r>
      <w:r w:rsidR="00E345BF">
        <w:rPr>
          <w:sz w:val="24"/>
          <w:szCs w:val="24"/>
        </w:rPr>
        <w:t xml:space="preserve"> uvođenje EU standarda, BFC SEE p</w:t>
      </w:r>
      <w:r w:rsidRPr="2A3F4FF8">
        <w:rPr>
          <w:sz w:val="24"/>
          <w:szCs w:val="24"/>
        </w:rPr>
        <w:t>rogram doprinosi jačanju saradnje, razm</w:t>
      </w:r>
      <w:r w:rsidR="00FE56B1">
        <w:rPr>
          <w:sz w:val="24"/>
          <w:szCs w:val="24"/>
        </w:rPr>
        <w:t>j</w:t>
      </w:r>
      <w:r w:rsidRPr="2A3F4FF8">
        <w:rPr>
          <w:sz w:val="24"/>
          <w:szCs w:val="24"/>
        </w:rPr>
        <w:t>en</w:t>
      </w:r>
      <w:r w:rsidR="1237D688" w:rsidRPr="2A3F4FF8">
        <w:rPr>
          <w:sz w:val="24"/>
          <w:szCs w:val="24"/>
        </w:rPr>
        <w:t>i</w:t>
      </w:r>
      <w:r w:rsidRPr="2A3F4FF8">
        <w:rPr>
          <w:sz w:val="24"/>
          <w:szCs w:val="24"/>
        </w:rPr>
        <w:t xml:space="preserve"> iskust</w:t>
      </w:r>
      <w:r w:rsidR="70731891" w:rsidRPr="2A3F4FF8">
        <w:rPr>
          <w:sz w:val="24"/>
          <w:szCs w:val="24"/>
        </w:rPr>
        <w:t>ava, kao i učešće u zajedničkim regionalnim inicijativama čime u velikoj m</w:t>
      </w:r>
      <w:r w:rsidR="00E345BF">
        <w:rPr>
          <w:sz w:val="24"/>
          <w:szCs w:val="24"/>
        </w:rPr>
        <w:t>j</w:t>
      </w:r>
      <w:r w:rsidR="70731891" w:rsidRPr="2A3F4FF8">
        <w:rPr>
          <w:sz w:val="24"/>
          <w:szCs w:val="24"/>
        </w:rPr>
        <w:t xml:space="preserve">eri </w:t>
      </w:r>
      <w:r w:rsidR="06C9554F" w:rsidRPr="2A3F4FF8">
        <w:rPr>
          <w:sz w:val="24"/>
          <w:szCs w:val="24"/>
        </w:rPr>
        <w:t xml:space="preserve">doprinosi i </w:t>
      </w:r>
      <w:r w:rsidR="70731891" w:rsidRPr="2A3F4FF8">
        <w:rPr>
          <w:sz w:val="24"/>
          <w:szCs w:val="24"/>
        </w:rPr>
        <w:t xml:space="preserve">olakšava </w:t>
      </w:r>
      <w:r w:rsidR="277907A2" w:rsidRPr="2A3F4FF8">
        <w:rPr>
          <w:sz w:val="24"/>
          <w:szCs w:val="24"/>
        </w:rPr>
        <w:t xml:space="preserve">ispunjavanje obaveza </w:t>
      </w:r>
      <w:r w:rsidR="3763C373" w:rsidRPr="2A3F4FF8">
        <w:rPr>
          <w:sz w:val="24"/>
          <w:szCs w:val="24"/>
        </w:rPr>
        <w:t>iz</w:t>
      </w:r>
      <w:r w:rsidR="02123D54" w:rsidRPr="2A3F4FF8">
        <w:rPr>
          <w:sz w:val="24"/>
          <w:szCs w:val="24"/>
        </w:rPr>
        <w:t xml:space="preserve"> </w:t>
      </w:r>
      <w:r w:rsidR="277907A2" w:rsidRPr="2A3F4FF8">
        <w:rPr>
          <w:sz w:val="24"/>
          <w:szCs w:val="24"/>
        </w:rPr>
        <w:t>proces</w:t>
      </w:r>
      <w:r w:rsidR="45C45707" w:rsidRPr="2A3F4FF8">
        <w:rPr>
          <w:sz w:val="24"/>
          <w:szCs w:val="24"/>
        </w:rPr>
        <w:t>a</w:t>
      </w:r>
      <w:r w:rsidR="277907A2" w:rsidRPr="2A3F4FF8">
        <w:rPr>
          <w:sz w:val="24"/>
          <w:szCs w:val="24"/>
        </w:rPr>
        <w:t xml:space="preserve"> </w:t>
      </w:r>
      <w:r w:rsidR="6CC6F2AD" w:rsidRPr="2A3F4FF8">
        <w:rPr>
          <w:sz w:val="24"/>
          <w:szCs w:val="24"/>
        </w:rPr>
        <w:t>evropskih</w:t>
      </w:r>
      <w:r w:rsidR="277907A2" w:rsidRPr="2A3F4FF8">
        <w:rPr>
          <w:sz w:val="24"/>
          <w:szCs w:val="24"/>
        </w:rPr>
        <w:t xml:space="preserve"> integracij</w:t>
      </w:r>
      <w:r w:rsidR="1869E89E" w:rsidRPr="2A3F4FF8">
        <w:rPr>
          <w:sz w:val="24"/>
          <w:szCs w:val="24"/>
        </w:rPr>
        <w:t>a</w:t>
      </w:r>
      <w:r w:rsidR="16B3879D" w:rsidRPr="2A3F4FF8">
        <w:rPr>
          <w:sz w:val="24"/>
          <w:szCs w:val="24"/>
        </w:rPr>
        <w:t>.</w:t>
      </w:r>
    </w:p>
    <w:p w14:paraId="69F5EA4C" w14:textId="1A2A484B" w:rsidR="00483906" w:rsidRDefault="00483906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0F8848C7" w14:textId="77777777" w:rsidR="00483906" w:rsidRPr="005000B3" w:rsidRDefault="00483906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56936473" w14:textId="52C310E5" w:rsidR="009D1362" w:rsidRPr="00FF1E5F" w:rsidRDefault="00FF1E5F" w:rsidP="009D1362">
      <w:pPr>
        <w:spacing w:after="0" w:line="20" w:lineRule="atLeast"/>
        <w:contextualSpacing/>
        <w:jc w:val="center"/>
        <w:rPr>
          <w:rFonts w:cstheme="minorHAnsi"/>
          <w:b/>
          <w:bCs/>
          <w:color w:val="00B0F0"/>
          <w:sz w:val="28"/>
          <w:szCs w:val="28"/>
        </w:rPr>
      </w:pPr>
      <w:r w:rsidRPr="00FF1E5F">
        <w:rPr>
          <w:rFonts w:cstheme="minorHAnsi"/>
          <w:b/>
          <w:bCs/>
          <w:color w:val="00B0F0"/>
          <w:sz w:val="28"/>
          <w:szCs w:val="28"/>
        </w:rPr>
        <w:t>KOLIKO JE BFC SEE PROGRAM ATRAKTIVAN ZA OPŠTINU?</w:t>
      </w:r>
    </w:p>
    <w:p w14:paraId="6F817BBF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57544C6" w14:textId="6E6FF1ED" w:rsidR="009D1362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sz w:val="24"/>
          <w:szCs w:val="24"/>
        </w:rPr>
        <w:t>Rezultati sprovedenog istraživanja pokazuju da blizu 90% ispitanih opšt</w:t>
      </w:r>
      <w:r w:rsidR="00E345BF">
        <w:rPr>
          <w:rFonts w:cstheme="minorHAnsi"/>
          <w:sz w:val="24"/>
          <w:szCs w:val="24"/>
        </w:rPr>
        <w:t>ina i gradova smatraju BFC SEE p</w:t>
      </w:r>
      <w:r w:rsidRPr="005000B3">
        <w:rPr>
          <w:rFonts w:cstheme="minorHAnsi"/>
          <w:sz w:val="24"/>
          <w:szCs w:val="24"/>
        </w:rPr>
        <w:t>rogram atraktivnim.</w:t>
      </w:r>
    </w:p>
    <w:p w14:paraId="0EDC3979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noProof/>
          <w:sz w:val="24"/>
          <w:szCs w:val="24"/>
          <w:lang w:val="sr-Latn-BA" w:eastAsia="sr-Latn-BA"/>
        </w:rPr>
        <w:drawing>
          <wp:inline distT="0" distB="0" distL="0" distR="0" wp14:anchorId="576E0C81" wp14:editId="64695011">
            <wp:extent cx="6862445" cy="1747319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F2B419-3E3D-6EE6-B9EB-F3080AF039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958CC2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5145B1FC" w14:textId="1985683F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sz w:val="24"/>
          <w:szCs w:val="24"/>
        </w:rPr>
        <w:t>S druge strane, 3/4 ispitanih opština i gradova</w:t>
      </w:r>
      <w:r w:rsidR="00E345BF">
        <w:rPr>
          <w:rFonts w:cstheme="minorHAnsi"/>
          <w:sz w:val="24"/>
          <w:szCs w:val="24"/>
        </w:rPr>
        <w:t>,</w:t>
      </w:r>
      <w:r w:rsidRPr="005000B3">
        <w:rPr>
          <w:rFonts w:cstheme="minorHAnsi"/>
          <w:sz w:val="24"/>
          <w:szCs w:val="24"/>
        </w:rPr>
        <w:t xml:space="preserve"> koje nik</w:t>
      </w:r>
      <w:r w:rsidR="00E345BF">
        <w:rPr>
          <w:rFonts w:cstheme="minorHAnsi"/>
          <w:sz w:val="24"/>
          <w:szCs w:val="24"/>
        </w:rPr>
        <w:t>ada nisu bile učesnice BFC SEE p</w:t>
      </w:r>
      <w:r w:rsidRPr="005000B3">
        <w:rPr>
          <w:rFonts w:cstheme="minorHAnsi"/>
          <w:sz w:val="24"/>
          <w:szCs w:val="24"/>
        </w:rPr>
        <w:t>rograma, smatra da bi učešće u njemu za njih bilo korisno, a gotovo sve one koje su do sada učestvovale (98%) bi preporučilo drugim opštinama da uzmu učešće u ovom programu.</w:t>
      </w:r>
    </w:p>
    <w:p w14:paraId="79CA03A2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55FA5E0E" w14:textId="77777777" w:rsidR="009D1362" w:rsidRDefault="009D1362" w:rsidP="13C3422C">
      <w:pPr>
        <w:spacing w:after="0" w:line="20" w:lineRule="atLeast"/>
        <w:contextualSpacing/>
        <w:jc w:val="both"/>
        <w:rPr>
          <w:b/>
          <w:bCs/>
          <w:sz w:val="24"/>
          <w:szCs w:val="24"/>
        </w:rPr>
      </w:pPr>
    </w:p>
    <w:p w14:paraId="6178FD8D" w14:textId="7F1F6FF9" w:rsidR="13C3422C" w:rsidRDefault="13C3422C" w:rsidP="13C3422C">
      <w:pPr>
        <w:spacing w:after="0" w:line="20" w:lineRule="atLeast"/>
        <w:contextualSpacing/>
        <w:jc w:val="both"/>
        <w:rPr>
          <w:b/>
          <w:bCs/>
          <w:sz w:val="24"/>
          <w:szCs w:val="24"/>
        </w:rPr>
      </w:pPr>
    </w:p>
    <w:p w14:paraId="76B49917" w14:textId="276756AB" w:rsidR="00490568" w:rsidRDefault="00490568" w:rsidP="009D1362">
      <w:pPr>
        <w:spacing w:after="0"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2749C63" w14:textId="0EA059A2" w:rsidR="004E5520" w:rsidRDefault="004E5520" w:rsidP="009D1362">
      <w:pPr>
        <w:spacing w:after="0"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89B6342" w14:textId="77777777" w:rsidR="004E5520" w:rsidRDefault="004E5520" w:rsidP="009D1362">
      <w:pPr>
        <w:spacing w:after="0"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299F15D5" w14:textId="26E6B427" w:rsidR="009D1362" w:rsidRPr="00483906" w:rsidRDefault="00483906" w:rsidP="009D1362">
      <w:pPr>
        <w:spacing w:after="0" w:line="20" w:lineRule="atLeast"/>
        <w:contextualSpacing/>
        <w:jc w:val="center"/>
        <w:rPr>
          <w:rFonts w:cstheme="minorHAnsi"/>
          <w:b/>
          <w:bCs/>
          <w:color w:val="00B0F0"/>
          <w:sz w:val="28"/>
          <w:szCs w:val="28"/>
        </w:rPr>
      </w:pPr>
      <w:r w:rsidRPr="00483906">
        <w:rPr>
          <w:rFonts w:cstheme="minorHAnsi"/>
          <w:b/>
          <w:bCs/>
          <w:color w:val="00B0F0"/>
          <w:sz w:val="28"/>
          <w:szCs w:val="28"/>
        </w:rPr>
        <w:lastRenderedPageBreak/>
        <w:t>KOJI SU MOTIVI OPŠTINE DA UČESTVUJE U BFC SEE PROGRAMU?</w:t>
      </w:r>
    </w:p>
    <w:p w14:paraId="57156372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6A94E8CC" w14:textId="50B53A4B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sz w:val="24"/>
          <w:szCs w:val="24"/>
        </w:rPr>
        <w:t>Kao najče</w:t>
      </w:r>
      <w:r w:rsidR="00E345BF">
        <w:rPr>
          <w:rFonts w:cstheme="minorHAnsi"/>
          <w:sz w:val="24"/>
          <w:szCs w:val="24"/>
        </w:rPr>
        <w:t>šće motive za učešće u BFC SEE p</w:t>
      </w:r>
      <w:r w:rsidRPr="005000B3">
        <w:rPr>
          <w:rFonts w:cstheme="minorHAnsi"/>
          <w:sz w:val="24"/>
          <w:szCs w:val="24"/>
        </w:rPr>
        <w:t xml:space="preserve">rogramu, opštine navode: </w:t>
      </w:r>
      <w:r w:rsidRPr="00080FF2">
        <w:rPr>
          <w:rFonts w:cstheme="minorHAnsi"/>
          <w:b/>
          <w:bCs/>
          <w:sz w:val="24"/>
          <w:szCs w:val="24"/>
        </w:rPr>
        <w:t>unapređenje efikasnosti u radu uprave</w:t>
      </w:r>
      <w:r w:rsidRPr="005000B3">
        <w:rPr>
          <w:rFonts w:cstheme="minorHAnsi"/>
          <w:sz w:val="24"/>
          <w:szCs w:val="24"/>
        </w:rPr>
        <w:t xml:space="preserve">, </w:t>
      </w:r>
      <w:r w:rsidRPr="00080FF2">
        <w:rPr>
          <w:rFonts w:cstheme="minorHAnsi"/>
          <w:b/>
          <w:bCs/>
          <w:sz w:val="24"/>
          <w:szCs w:val="24"/>
        </w:rPr>
        <w:t>privlačenje novih investicija</w:t>
      </w:r>
      <w:r w:rsidRPr="005000B3">
        <w:rPr>
          <w:rFonts w:cstheme="minorHAnsi"/>
          <w:sz w:val="24"/>
          <w:szCs w:val="24"/>
        </w:rPr>
        <w:t xml:space="preserve"> i </w:t>
      </w:r>
      <w:r w:rsidRPr="00080FF2">
        <w:rPr>
          <w:rFonts w:cstheme="minorHAnsi"/>
          <w:b/>
          <w:bCs/>
          <w:sz w:val="24"/>
          <w:szCs w:val="24"/>
        </w:rPr>
        <w:t>prepoznatljivost, promociju i imidž opštine</w:t>
      </w:r>
      <w:r w:rsidRPr="005000B3">
        <w:rPr>
          <w:rFonts w:cstheme="minorHAnsi"/>
          <w:sz w:val="24"/>
          <w:szCs w:val="24"/>
        </w:rPr>
        <w:t>.</w:t>
      </w:r>
    </w:p>
    <w:p w14:paraId="6DB3D8E3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noProof/>
          <w:sz w:val="24"/>
          <w:szCs w:val="24"/>
          <w:lang w:val="sr-Latn-BA" w:eastAsia="sr-Latn-BA"/>
        </w:rPr>
        <w:drawing>
          <wp:inline distT="0" distB="0" distL="0" distR="0" wp14:anchorId="18E0DFAC" wp14:editId="3E5226E5">
            <wp:extent cx="6871580" cy="2064385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1160B4-4701-BEA7-ACE6-55982B4C23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946331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02AE29D8" w14:textId="2F858E9C" w:rsidR="009D1362" w:rsidRPr="00483906" w:rsidRDefault="00483906" w:rsidP="009D1362">
      <w:pPr>
        <w:spacing w:after="0" w:line="20" w:lineRule="atLeast"/>
        <w:contextualSpacing/>
        <w:jc w:val="center"/>
        <w:rPr>
          <w:rFonts w:cstheme="minorHAnsi"/>
          <w:b/>
          <w:bCs/>
          <w:color w:val="00B0F0"/>
          <w:sz w:val="28"/>
          <w:szCs w:val="28"/>
        </w:rPr>
      </w:pPr>
      <w:r w:rsidRPr="00483906">
        <w:rPr>
          <w:rFonts w:cstheme="minorHAnsi"/>
          <w:b/>
          <w:bCs/>
          <w:color w:val="00B0F0"/>
          <w:sz w:val="28"/>
          <w:szCs w:val="28"/>
        </w:rPr>
        <w:t xml:space="preserve">KOJE SU KORISTI ZA </w:t>
      </w:r>
      <w:r w:rsidR="00E345BF">
        <w:rPr>
          <w:rFonts w:cstheme="minorHAnsi"/>
          <w:b/>
          <w:bCs/>
          <w:color w:val="00B0F0"/>
          <w:sz w:val="28"/>
          <w:szCs w:val="28"/>
        </w:rPr>
        <w:t>OPŠTINU KOJA POSJEDUJE BFC SEE SERTIFIKAT</w:t>
      </w:r>
      <w:r w:rsidRPr="00483906">
        <w:rPr>
          <w:rFonts w:cstheme="minorHAnsi"/>
          <w:b/>
          <w:bCs/>
          <w:color w:val="00B0F0"/>
          <w:sz w:val="28"/>
          <w:szCs w:val="28"/>
        </w:rPr>
        <w:t>?</w:t>
      </w:r>
    </w:p>
    <w:p w14:paraId="6E87EB2E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6F5627E4" w14:textId="3041E7E6" w:rsidR="009D1362" w:rsidRDefault="00FE56B1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Više od 3/4 ispitanika među </w:t>
      </w:r>
      <w:proofErr w:type="spellStart"/>
      <w:r>
        <w:rPr>
          <w:rFonts w:cstheme="minorHAnsi"/>
          <w:sz w:val="24"/>
          <w:szCs w:val="24"/>
        </w:rPr>
        <w:t>s</w:t>
      </w:r>
      <w:r w:rsidR="009D1362" w:rsidRPr="005000B3">
        <w:rPr>
          <w:rFonts w:cstheme="minorHAnsi"/>
          <w:sz w:val="24"/>
          <w:szCs w:val="24"/>
        </w:rPr>
        <w:t>ertifikovanim</w:t>
      </w:r>
      <w:proofErr w:type="spellEnd"/>
      <w:r w:rsidR="009D1362" w:rsidRPr="005000B3">
        <w:rPr>
          <w:rFonts w:cstheme="minorHAnsi"/>
          <w:sz w:val="24"/>
          <w:szCs w:val="24"/>
        </w:rPr>
        <w:t xml:space="preserve"> opštinama smatra da je posedovanje </w:t>
      </w:r>
      <w:r w:rsidR="00E345BF">
        <w:rPr>
          <w:rFonts w:cstheme="minorHAnsi"/>
          <w:sz w:val="24"/>
          <w:szCs w:val="24"/>
        </w:rPr>
        <w:t xml:space="preserve">BFC SEE </w:t>
      </w:r>
      <w:proofErr w:type="spellStart"/>
      <w:r w:rsidR="00E345BF">
        <w:rPr>
          <w:rFonts w:cstheme="minorHAnsi"/>
          <w:sz w:val="24"/>
          <w:szCs w:val="24"/>
        </w:rPr>
        <w:t>s</w:t>
      </w:r>
      <w:r w:rsidR="00B231A6">
        <w:rPr>
          <w:rFonts w:cstheme="minorHAnsi"/>
          <w:sz w:val="24"/>
          <w:szCs w:val="24"/>
        </w:rPr>
        <w:t>ertifikata</w:t>
      </w:r>
      <w:proofErr w:type="spellEnd"/>
      <w:r w:rsidR="009D1362" w:rsidRPr="005000B3">
        <w:rPr>
          <w:rFonts w:cstheme="minorHAnsi"/>
          <w:sz w:val="24"/>
          <w:szCs w:val="24"/>
        </w:rPr>
        <w:t xml:space="preserve"> korisno, a da lokalna privreda ima koristi od </w:t>
      </w:r>
      <w:r w:rsidR="00B231A6">
        <w:rPr>
          <w:rFonts w:cstheme="minorHAnsi"/>
          <w:sz w:val="24"/>
          <w:szCs w:val="24"/>
        </w:rPr>
        <w:t>istog</w:t>
      </w:r>
      <w:r w:rsidR="009D1362" w:rsidRPr="005000B3">
        <w:rPr>
          <w:rFonts w:cstheme="minorHAnsi"/>
          <w:sz w:val="24"/>
          <w:szCs w:val="24"/>
        </w:rPr>
        <w:t xml:space="preserve"> </w:t>
      </w:r>
      <w:r w:rsidR="00B231A6">
        <w:rPr>
          <w:rFonts w:cstheme="minorHAnsi"/>
          <w:sz w:val="24"/>
          <w:szCs w:val="24"/>
        </w:rPr>
        <w:t>smatra</w:t>
      </w:r>
      <w:r w:rsidR="009D1362" w:rsidRPr="005000B3">
        <w:rPr>
          <w:rFonts w:cstheme="minorHAnsi"/>
          <w:sz w:val="24"/>
          <w:szCs w:val="24"/>
        </w:rPr>
        <w:t xml:space="preserve"> čak 83% certifikovanih opština.</w:t>
      </w:r>
    </w:p>
    <w:p w14:paraId="5745410D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16DD66DE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  <w:r w:rsidRPr="005000B3">
        <w:rPr>
          <w:rFonts w:cstheme="minorHAnsi"/>
          <w:b/>
          <w:bCs/>
          <w:noProof/>
          <w:sz w:val="24"/>
          <w:szCs w:val="24"/>
          <w:lang w:val="sr-Latn-BA" w:eastAsia="sr-Latn-BA"/>
        </w:rPr>
        <w:drawing>
          <wp:inline distT="0" distB="0" distL="0" distR="0" wp14:anchorId="1DF4884A" wp14:editId="7976FA32">
            <wp:extent cx="6848947" cy="1152525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5DE2B0-0D2D-67AC-D73C-0E92224F45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C00FA4" w14:textId="77777777" w:rsidR="009D1362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5124DADF" w14:textId="1E1C1330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sz w:val="24"/>
          <w:szCs w:val="24"/>
        </w:rPr>
        <w:t>Kao najveće koristi koje op</w:t>
      </w:r>
      <w:r w:rsidR="00E345BF">
        <w:rPr>
          <w:rFonts w:cstheme="minorHAnsi"/>
          <w:sz w:val="24"/>
          <w:szCs w:val="24"/>
        </w:rPr>
        <w:t>ština dobija učešćem u BFC SEE p</w:t>
      </w:r>
      <w:r w:rsidRPr="005000B3">
        <w:rPr>
          <w:rFonts w:cstheme="minorHAnsi"/>
          <w:sz w:val="24"/>
          <w:szCs w:val="24"/>
        </w:rPr>
        <w:t>rogramu opštine izdvajaju:</w:t>
      </w:r>
    </w:p>
    <w:p w14:paraId="0DED841E" w14:textId="77777777" w:rsidR="009D1362" w:rsidRPr="005000B3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6BF223F9" w14:textId="77777777" w:rsidR="009D1362" w:rsidRPr="00B231A6" w:rsidRDefault="009D1362" w:rsidP="009D1362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cstheme="minorHAnsi"/>
          <w:b/>
          <w:bCs/>
          <w:sz w:val="24"/>
          <w:szCs w:val="24"/>
          <w:lang w:val="sr-Latn-RS"/>
        </w:rPr>
      </w:pPr>
      <w:r w:rsidRPr="00B231A6">
        <w:rPr>
          <w:rFonts w:cstheme="minorHAnsi"/>
          <w:b/>
          <w:bCs/>
          <w:sz w:val="24"/>
          <w:szCs w:val="24"/>
          <w:lang w:val="sr-Latn-RS"/>
        </w:rPr>
        <w:t>prepoznatljivost i promocija u zemlji i inostranstvu</w:t>
      </w:r>
    </w:p>
    <w:p w14:paraId="435B06AF" w14:textId="77777777" w:rsidR="009D1362" w:rsidRPr="00B231A6" w:rsidRDefault="009D1362" w:rsidP="009D1362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cstheme="minorHAnsi"/>
          <w:b/>
          <w:bCs/>
          <w:sz w:val="24"/>
          <w:szCs w:val="24"/>
          <w:lang w:val="sr-Latn-RS"/>
        </w:rPr>
      </w:pPr>
      <w:r w:rsidRPr="00B231A6">
        <w:rPr>
          <w:rFonts w:cstheme="minorHAnsi"/>
          <w:b/>
          <w:bCs/>
          <w:sz w:val="24"/>
          <w:szCs w:val="24"/>
          <w:lang w:val="sr-Latn-RS"/>
        </w:rPr>
        <w:t>mogućnost dodatnog finansiranja kroz učešće u projektima</w:t>
      </w:r>
    </w:p>
    <w:p w14:paraId="161C51E6" w14:textId="6B6A42D6" w:rsidR="009D1362" w:rsidRPr="00B231A6" w:rsidRDefault="009D1362" w:rsidP="009D1362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cstheme="minorHAnsi"/>
          <w:b/>
          <w:bCs/>
          <w:sz w:val="24"/>
          <w:szCs w:val="24"/>
          <w:lang w:val="sr-Latn-RS"/>
        </w:rPr>
      </w:pPr>
      <w:r w:rsidRPr="00B231A6">
        <w:rPr>
          <w:rFonts w:cstheme="minorHAnsi"/>
          <w:b/>
          <w:bCs/>
          <w:sz w:val="24"/>
          <w:szCs w:val="24"/>
          <w:lang w:val="sr-Latn-RS"/>
        </w:rPr>
        <w:t>veće umrežavanje i povezivanje BFC opština u cilju razm</w:t>
      </w:r>
      <w:r w:rsidR="00E345BF">
        <w:rPr>
          <w:rFonts w:cstheme="minorHAnsi"/>
          <w:b/>
          <w:bCs/>
          <w:sz w:val="24"/>
          <w:szCs w:val="24"/>
          <w:lang w:val="sr-Latn-RS"/>
        </w:rPr>
        <w:t>j</w:t>
      </w:r>
      <w:r w:rsidRPr="00B231A6">
        <w:rPr>
          <w:rFonts w:cstheme="minorHAnsi"/>
          <w:b/>
          <w:bCs/>
          <w:sz w:val="24"/>
          <w:szCs w:val="24"/>
          <w:lang w:val="sr-Latn-RS"/>
        </w:rPr>
        <w:t>ene iskustava i prim</w:t>
      </w:r>
      <w:r w:rsidR="00FE56B1">
        <w:rPr>
          <w:rFonts w:cstheme="minorHAnsi"/>
          <w:b/>
          <w:bCs/>
          <w:sz w:val="24"/>
          <w:szCs w:val="24"/>
          <w:lang w:val="sr-Latn-RS"/>
        </w:rPr>
        <w:t>j</w:t>
      </w:r>
      <w:r w:rsidRPr="00B231A6">
        <w:rPr>
          <w:rFonts w:cstheme="minorHAnsi"/>
          <w:b/>
          <w:bCs/>
          <w:sz w:val="24"/>
          <w:szCs w:val="24"/>
          <w:lang w:val="sr-Latn-RS"/>
        </w:rPr>
        <w:t>era dobrih praksi</w:t>
      </w:r>
    </w:p>
    <w:p w14:paraId="577EB4BA" w14:textId="4239FC80" w:rsidR="009D1362" w:rsidRDefault="009D1362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4598A546" w14:textId="77777777" w:rsidR="00185EE1" w:rsidRDefault="00185EE1" w:rsidP="009D1362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32E82B0C" w14:textId="2D5C0DFB" w:rsidR="009D1362" w:rsidRPr="00483906" w:rsidRDefault="00483906" w:rsidP="009D1362">
      <w:pPr>
        <w:spacing w:line="20" w:lineRule="atLeast"/>
        <w:contextualSpacing/>
        <w:jc w:val="center"/>
        <w:rPr>
          <w:rFonts w:cstheme="minorHAnsi"/>
          <w:b/>
          <w:bCs/>
          <w:color w:val="00B0F0"/>
          <w:sz w:val="28"/>
          <w:szCs w:val="28"/>
        </w:rPr>
      </w:pPr>
      <w:r w:rsidRPr="00483906">
        <w:rPr>
          <w:rFonts w:cstheme="minorHAnsi"/>
          <w:b/>
          <w:bCs/>
          <w:color w:val="00B0F0"/>
          <w:sz w:val="28"/>
          <w:szCs w:val="28"/>
        </w:rPr>
        <w:t>KOJE SU NOVINE IV EDICIJE BFC SEE STANDARDA?</w:t>
      </w:r>
    </w:p>
    <w:p w14:paraId="0FC83F48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1030716B" w14:textId="42010C9F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 w:rsidRPr="5FCC224E">
        <w:rPr>
          <w:sz w:val="24"/>
          <w:szCs w:val="24"/>
        </w:rPr>
        <w:t>Najnovija</w:t>
      </w:r>
      <w:r w:rsidR="00E345BF">
        <w:rPr>
          <w:sz w:val="24"/>
          <w:szCs w:val="24"/>
        </w:rPr>
        <w:t>,</w:t>
      </w:r>
      <w:r w:rsidRPr="5FCC224E">
        <w:rPr>
          <w:sz w:val="24"/>
          <w:szCs w:val="24"/>
        </w:rPr>
        <w:t xml:space="preserve"> IV edicija</w:t>
      </w:r>
      <w:r w:rsidR="00E345BF">
        <w:rPr>
          <w:sz w:val="24"/>
          <w:szCs w:val="24"/>
        </w:rPr>
        <w:t>,</w:t>
      </w:r>
      <w:r w:rsidRPr="5FCC224E">
        <w:rPr>
          <w:sz w:val="24"/>
          <w:szCs w:val="24"/>
        </w:rPr>
        <w:t xml:space="preserve"> BFC SEE standarda razvijena je na osnovama usp</w:t>
      </w:r>
      <w:r w:rsidR="00E345BF">
        <w:rPr>
          <w:sz w:val="24"/>
          <w:szCs w:val="24"/>
        </w:rPr>
        <w:t>j</w:t>
      </w:r>
      <w:r w:rsidRPr="5FCC224E">
        <w:rPr>
          <w:sz w:val="24"/>
          <w:szCs w:val="24"/>
        </w:rPr>
        <w:t>ešno prim</w:t>
      </w:r>
      <w:r w:rsidR="00E345BF">
        <w:rPr>
          <w:sz w:val="24"/>
          <w:szCs w:val="24"/>
        </w:rPr>
        <w:t>j</w:t>
      </w:r>
      <w:r w:rsidRPr="5FCC224E">
        <w:rPr>
          <w:sz w:val="24"/>
          <w:szCs w:val="24"/>
        </w:rPr>
        <w:t>enjivane prethodne edicije, ali i prepoz</w:t>
      </w:r>
      <w:r w:rsidR="00E345BF">
        <w:rPr>
          <w:sz w:val="24"/>
          <w:szCs w:val="24"/>
        </w:rPr>
        <w:t>n</w:t>
      </w:r>
      <w:r w:rsidRPr="5FCC224E">
        <w:rPr>
          <w:sz w:val="24"/>
          <w:szCs w:val="24"/>
        </w:rPr>
        <w:t>ate potrebe za uvođenjem sadržaja i metodoloških izm</w:t>
      </w:r>
      <w:r w:rsidR="00E345BF">
        <w:rPr>
          <w:sz w:val="24"/>
          <w:szCs w:val="24"/>
        </w:rPr>
        <w:t>j</w:t>
      </w:r>
      <w:r w:rsidRPr="5FCC224E">
        <w:rPr>
          <w:sz w:val="24"/>
          <w:szCs w:val="24"/>
        </w:rPr>
        <w:t>ena koje prate i promovišu novije razvojne tendencije. Ove novine se sažeto mogu predstaviti u četiri tačke:</w:t>
      </w:r>
    </w:p>
    <w:p w14:paraId="2AF529AE" w14:textId="75DEAA19" w:rsidR="7A0DBD9B" w:rsidRDefault="7A0DBD9B" w:rsidP="5FCC224E">
      <w:pPr>
        <w:pStyle w:val="ListParagraph"/>
        <w:numPr>
          <w:ilvl w:val="0"/>
          <w:numId w:val="8"/>
        </w:numPr>
        <w:spacing w:line="20" w:lineRule="atLeast"/>
        <w:jc w:val="both"/>
        <w:rPr>
          <w:sz w:val="24"/>
          <w:szCs w:val="24"/>
          <w:lang w:val="sr-Latn-RS"/>
        </w:rPr>
      </w:pPr>
      <w:r w:rsidRPr="5FCC224E">
        <w:rPr>
          <w:sz w:val="24"/>
          <w:szCs w:val="24"/>
          <w:lang w:val="sr-Latn-RS"/>
        </w:rPr>
        <w:t>Uvode se numerički pokazatelji performansi lokalne samouprave koji će omogućiti m</w:t>
      </w:r>
      <w:r w:rsidR="00E345BF">
        <w:rPr>
          <w:sz w:val="24"/>
          <w:szCs w:val="24"/>
          <w:lang w:val="sr-Latn-RS"/>
        </w:rPr>
        <w:t>j</w:t>
      </w:r>
      <w:r w:rsidRPr="5FCC224E">
        <w:rPr>
          <w:sz w:val="24"/>
          <w:szCs w:val="24"/>
          <w:lang w:val="sr-Latn-RS"/>
        </w:rPr>
        <w:t>erenje efekata odluka, m</w:t>
      </w:r>
      <w:r w:rsidR="00E345BF">
        <w:rPr>
          <w:sz w:val="24"/>
          <w:szCs w:val="24"/>
          <w:lang w:val="sr-Latn-RS"/>
        </w:rPr>
        <w:t>j</w:t>
      </w:r>
      <w:r w:rsidRPr="5FCC224E">
        <w:rPr>
          <w:sz w:val="24"/>
          <w:szCs w:val="24"/>
          <w:lang w:val="sr-Latn-RS"/>
        </w:rPr>
        <w:t>era i aktivnosti vezanih za lokalni ekonomski razvoj.</w:t>
      </w:r>
    </w:p>
    <w:p w14:paraId="50E22579" w14:textId="0D514304" w:rsidR="7A0DBD9B" w:rsidRDefault="7A0DBD9B" w:rsidP="5FCC224E">
      <w:pPr>
        <w:pStyle w:val="ListParagraph"/>
        <w:numPr>
          <w:ilvl w:val="0"/>
          <w:numId w:val="8"/>
        </w:numPr>
        <w:spacing w:line="20" w:lineRule="atLeast"/>
        <w:jc w:val="both"/>
        <w:rPr>
          <w:sz w:val="24"/>
          <w:szCs w:val="24"/>
          <w:lang w:val="sr-Latn-RS"/>
        </w:rPr>
      </w:pPr>
      <w:r w:rsidRPr="5FCC224E">
        <w:rPr>
          <w:sz w:val="24"/>
          <w:szCs w:val="24"/>
          <w:lang w:val="sr-Latn-RS"/>
        </w:rPr>
        <w:t xml:space="preserve">Uvodi se praksa standardizovanog prikupljanja i vrednovanja razvojnih modela i inovacija, </w:t>
      </w:r>
      <w:proofErr w:type="spellStart"/>
      <w:r w:rsidRPr="5FCC224E">
        <w:rPr>
          <w:sz w:val="24"/>
          <w:szCs w:val="24"/>
          <w:lang w:val="sr-Latn-RS"/>
        </w:rPr>
        <w:t>prim</w:t>
      </w:r>
      <w:r w:rsidR="00E345BF">
        <w:rPr>
          <w:sz w:val="24"/>
          <w:szCs w:val="24"/>
          <w:lang w:val="sr-Latn-RS"/>
        </w:rPr>
        <w:t>j</w:t>
      </w:r>
      <w:r w:rsidRPr="5FCC224E">
        <w:rPr>
          <w:sz w:val="24"/>
          <w:szCs w:val="24"/>
          <w:lang w:val="sr-Latn-RS"/>
        </w:rPr>
        <w:t>enjenih</w:t>
      </w:r>
      <w:proofErr w:type="spellEnd"/>
      <w:r w:rsidRPr="5FCC224E">
        <w:rPr>
          <w:sz w:val="24"/>
          <w:szCs w:val="24"/>
          <w:lang w:val="sr-Latn-RS"/>
        </w:rPr>
        <w:t xml:space="preserve"> u radu lokalnih samouprava, čime će se omogućiti razm</w:t>
      </w:r>
      <w:r w:rsidR="00E345BF">
        <w:rPr>
          <w:sz w:val="24"/>
          <w:szCs w:val="24"/>
          <w:lang w:val="sr-Latn-RS"/>
        </w:rPr>
        <w:t>j</w:t>
      </w:r>
      <w:r w:rsidRPr="5FCC224E">
        <w:rPr>
          <w:sz w:val="24"/>
          <w:szCs w:val="24"/>
          <w:lang w:val="sr-Latn-RS"/>
        </w:rPr>
        <w:t>ena prim</w:t>
      </w:r>
      <w:r w:rsidR="00E345BF">
        <w:rPr>
          <w:sz w:val="24"/>
          <w:szCs w:val="24"/>
          <w:lang w:val="sr-Latn-RS"/>
        </w:rPr>
        <w:t>j</w:t>
      </w:r>
      <w:r w:rsidRPr="5FCC224E">
        <w:rPr>
          <w:sz w:val="24"/>
          <w:szCs w:val="24"/>
          <w:lang w:val="sr-Latn-RS"/>
        </w:rPr>
        <w:t>era najboljih praksi i jača saradnja</w:t>
      </w:r>
      <w:r w:rsidR="1FFC9A5E" w:rsidRPr="5FCC224E">
        <w:rPr>
          <w:sz w:val="24"/>
          <w:szCs w:val="24"/>
          <w:lang w:val="sr-Latn-RS"/>
        </w:rPr>
        <w:t xml:space="preserve"> i povezivanje</w:t>
      </w:r>
      <w:r w:rsidRPr="5FCC224E">
        <w:rPr>
          <w:sz w:val="24"/>
          <w:szCs w:val="24"/>
          <w:lang w:val="sr-Latn-RS"/>
        </w:rPr>
        <w:t xml:space="preserve"> između </w:t>
      </w:r>
      <w:proofErr w:type="spellStart"/>
      <w:r w:rsidRPr="5FCC224E">
        <w:rPr>
          <w:sz w:val="24"/>
          <w:szCs w:val="24"/>
          <w:lang w:val="sr-Latn-RS"/>
        </w:rPr>
        <w:t>najusp</w:t>
      </w:r>
      <w:r w:rsidR="00E345BF">
        <w:rPr>
          <w:sz w:val="24"/>
          <w:szCs w:val="24"/>
          <w:lang w:val="sr-Latn-RS"/>
        </w:rPr>
        <w:t>j</w:t>
      </w:r>
      <w:r w:rsidRPr="5FCC224E">
        <w:rPr>
          <w:sz w:val="24"/>
          <w:szCs w:val="24"/>
          <w:lang w:val="sr-Latn-RS"/>
        </w:rPr>
        <w:t>ešnijih</w:t>
      </w:r>
      <w:proofErr w:type="spellEnd"/>
      <w:r w:rsidRPr="5FCC224E">
        <w:rPr>
          <w:sz w:val="24"/>
          <w:szCs w:val="24"/>
          <w:lang w:val="sr-Latn-RS"/>
        </w:rPr>
        <w:t xml:space="preserve"> gradova i opština.</w:t>
      </w:r>
    </w:p>
    <w:p w14:paraId="7F5E5942" w14:textId="3A85BDAC" w:rsidR="3C9B1AAB" w:rsidRDefault="3C9B1AAB" w:rsidP="5FCC224E">
      <w:pPr>
        <w:pStyle w:val="ListParagraph"/>
        <w:numPr>
          <w:ilvl w:val="0"/>
          <w:numId w:val="8"/>
        </w:numPr>
        <w:spacing w:line="20" w:lineRule="atLeast"/>
        <w:jc w:val="both"/>
        <w:rPr>
          <w:sz w:val="24"/>
          <w:szCs w:val="24"/>
          <w:lang w:val="sr-Latn-RS"/>
        </w:rPr>
      </w:pPr>
      <w:r w:rsidRPr="5FCC224E">
        <w:rPr>
          <w:sz w:val="24"/>
          <w:szCs w:val="24"/>
          <w:lang w:val="sr-Latn-RS"/>
        </w:rPr>
        <w:t>Uvodi se set novih kriterijuma u oblasti digitalizacije opštinskih usluga</w:t>
      </w:r>
      <w:r w:rsidR="289C649B" w:rsidRPr="5FCC224E">
        <w:rPr>
          <w:sz w:val="24"/>
          <w:szCs w:val="24"/>
          <w:lang w:val="sr-Latn-RS"/>
        </w:rPr>
        <w:t xml:space="preserve">, </w:t>
      </w:r>
      <w:r w:rsidRPr="5FCC224E">
        <w:rPr>
          <w:sz w:val="24"/>
          <w:szCs w:val="24"/>
          <w:lang w:val="sr-Latn-RS"/>
        </w:rPr>
        <w:t>zaštite životne sredine</w:t>
      </w:r>
      <w:r w:rsidR="111E6D5A" w:rsidRPr="5FCC224E">
        <w:rPr>
          <w:sz w:val="24"/>
          <w:szCs w:val="24"/>
          <w:lang w:val="sr-Latn-RS"/>
        </w:rPr>
        <w:t xml:space="preserve"> i </w:t>
      </w:r>
      <w:r w:rsidRPr="5FCC224E">
        <w:rPr>
          <w:sz w:val="24"/>
          <w:szCs w:val="24"/>
          <w:lang w:val="sr-Latn-RS"/>
        </w:rPr>
        <w:t>cirkularne ekonomije kao jednog od tri stuba održivog razvoja svake lokalne zajednice.</w:t>
      </w:r>
    </w:p>
    <w:p w14:paraId="4201B6B2" w14:textId="013D6FBF" w:rsidR="7E6A5B7C" w:rsidRDefault="7E6A5B7C" w:rsidP="5FCC224E">
      <w:pPr>
        <w:pStyle w:val="ListParagraph"/>
        <w:numPr>
          <w:ilvl w:val="0"/>
          <w:numId w:val="8"/>
        </w:numPr>
        <w:spacing w:line="20" w:lineRule="atLeast"/>
        <w:jc w:val="both"/>
        <w:rPr>
          <w:sz w:val="24"/>
          <w:szCs w:val="24"/>
          <w:lang w:val="sr-Latn-RS"/>
        </w:rPr>
      </w:pPr>
      <w:r w:rsidRPr="5FCC224E">
        <w:rPr>
          <w:sz w:val="24"/>
          <w:szCs w:val="24"/>
          <w:lang w:val="sr-Latn-RS"/>
        </w:rPr>
        <w:t xml:space="preserve">Uvodi se mogućnost eksternog istraživanja stavova lokalne poslovne zajednice </w:t>
      </w:r>
      <w:r w:rsidR="1EFB6678" w:rsidRPr="5FCC224E">
        <w:rPr>
          <w:sz w:val="24"/>
          <w:szCs w:val="24"/>
          <w:lang w:val="sr-Latn-RS"/>
        </w:rPr>
        <w:t xml:space="preserve">što </w:t>
      </w:r>
      <w:r w:rsidRPr="5FCC224E">
        <w:rPr>
          <w:sz w:val="24"/>
          <w:szCs w:val="24"/>
          <w:lang w:val="sr-Latn-RS"/>
        </w:rPr>
        <w:t>će pred</w:t>
      </w:r>
      <w:r w:rsidR="6FCBF1F3" w:rsidRPr="5FCC224E">
        <w:rPr>
          <w:sz w:val="24"/>
          <w:szCs w:val="24"/>
          <w:lang w:val="sr-Latn-RS"/>
        </w:rPr>
        <w:t>s</w:t>
      </w:r>
      <w:r w:rsidRPr="5FCC224E">
        <w:rPr>
          <w:sz w:val="24"/>
          <w:szCs w:val="24"/>
          <w:lang w:val="sr-Latn-RS"/>
        </w:rPr>
        <w:t>tavljati dodatnu vr</w:t>
      </w:r>
      <w:r w:rsidR="00E345BF">
        <w:rPr>
          <w:sz w:val="24"/>
          <w:szCs w:val="24"/>
          <w:lang w:val="sr-Latn-RS"/>
        </w:rPr>
        <w:t>ij</w:t>
      </w:r>
      <w:r w:rsidRPr="5FCC224E">
        <w:rPr>
          <w:sz w:val="24"/>
          <w:szCs w:val="24"/>
          <w:lang w:val="sr-Latn-RS"/>
        </w:rPr>
        <w:t>ednost i pružiti jasne sm</w:t>
      </w:r>
      <w:r w:rsidR="00E345BF">
        <w:rPr>
          <w:sz w:val="24"/>
          <w:szCs w:val="24"/>
          <w:lang w:val="sr-Latn-RS"/>
        </w:rPr>
        <w:t>j</w:t>
      </w:r>
      <w:r w:rsidRPr="5FCC224E">
        <w:rPr>
          <w:sz w:val="24"/>
          <w:szCs w:val="24"/>
          <w:lang w:val="sr-Latn-RS"/>
        </w:rPr>
        <w:t>ernice u pravcu kreiranja povoljnog poslovnog okruženja</w:t>
      </w:r>
      <w:r w:rsidR="09CB7D94" w:rsidRPr="5FCC224E">
        <w:rPr>
          <w:sz w:val="24"/>
          <w:szCs w:val="24"/>
          <w:lang w:val="sr-Latn-RS"/>
        </w:rPr>
        <w:t>.</w:t>
      </w:r>
    </w:p>
    <w:p w14:paraId="4E6185C0" w14:textId="700EBAE4" w:rsidR="5FCC224E" w:rsidRDefault="5FCC224E" w:rsidP="5FCC224E">
      <w:pPr>
        <w:spacing w:line="20" w:lineRule="atLeast"/>
        <w:jc w:val="both"/>
        <w:rPr>
          <w:sz w:val="24"/>
          <w:szCs w:val="24"/>
        </w:rPr>
      </w:pPr>
    </w:p>
    <w:p w14:paraId="0D623AAB" w14:textId="0BE5E596" w:rsidR="009D1362" w:rsidRPr="00483906" w:rsidRDefault="00483906" w:rsidP="009D1362">
      <w:pPr>
        <w:spacing w:line="20" w:lineRule="atLeast"/>
        <w:contextualSpacing/>
        <w:jc w:val="center"/>
        <w:rPr>
          <w:rFonts w:cstheme="minorHAnsi"/>
          <w:b/>
          <w:bCs/>
          <w:color w:val="00B0F0"/>
          <w:sz w:val="28"/>
          <w:szCs w:val="28"/>
        </w:rPr>
      </w:pPr>
      <w:r w:rsidRPr="00483906">
        <w:rPr>
          <w:rFonts w:cstheme="minorHAnsi"/>
          <w:b/>
          <w:bCs/>
          <w:color w:val="00B0F0"/>
          <w:sz w:val="28"/>
          <w:szCs w:val="28"/>
        </w:rPr>
        <w:lastRenderedPageBreak/>
        <w:t>K</w:t>
      </w:r>
      <w:r w:rsidR="00FE56B1">
        <w:rPr>
          <w:rFonts w:cstheme="minorHAnsi"/>
          <w:b/>
          <w:bCs/>
          <w:color w:val="00B0F0"/>
          <w:sz w:val="28"/>
          <w:szCs w:val="28"/>
        </w:rPr>
        <w:t>OJI SU TO KRITERIJUMI KOJE</w:t>
      </w:r>
      <w:r w:rsidRPr="00483906">
        <w:rPr>
          <w:rFonts w:cstheme="minorHAnsi"/>
          <w:b/>
          <w:bCs/>
          <w:color w:val="00B0F0"/>
          <w:sz w:val="28"/>
          <w:szCs w:val="28"/>
        </w:rPr>
        <w:t xml:space="preserve"> OPŠTINA MORA DA ISPUNI DA BI SE NAŠLA MEĐU NAJUSP</w:t>
      </w:r>
      <w:r w:rsidR="00E345BF">
        <w:rPr>
          <w:rFonts w:cstheme="minorHAnsi"/>
          <w:b/>
          <w:bCs/>
          <w:color w:val="00B0F0"/>
          <w:sz w:val="28"/>
          <w:szCs w:val="28"/>
        </w:rPr>
        <w:t>J</w:t>
      </w:r>
      <w:r w:rsidRPr="00483906">
        <w:rPr>
          <w:rFonts w:cstheme="minorHAnsi"/>
          <w:b/>
          <w:bCs/>
          <w:color w:val="00B0F0"/>
          <w:sz w:val="28"/>
          <w:szCs w:val="28"/>
        </w:rPr>
        <w:t>EŠNIJIM OPŠTINAMA U REGIONU?</w:t>
      </w:r>
    </w:p>
    <w:p w14:paraId="0C716779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759B4D05" w14:textId="6AEC9AC0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E345BF">
        <w:rPr>
          <w:rFonts w:cstheme="minorHAnsi"/>
          <w:sz w:val="24"/>
          <w:szCs w:val="24"/>
        </w:rPr>
        <w:t>riterijumi za s</w:t>
      </w:r>
      <w:r w:rsidRPr="005000B3">
        <w:rPr>
          <w:rFonts w:cstheme="minorHAnsi"/>
          <w:sz w:val="24"/>
          <w:szCs w:val="24"/>
        </w:rPr>
        <w:t xml:space="preserve">ertifikaciju predstavljaju neku vrstu </w:t>
      </w:r>
      <w:proofErr w:type="spellStart"/>
      <w:r w:rsidRPr="005000B3">
        <w:rPr>
          <w:rFonts w:cstheme="minorHAnsi"/>
          <w:sz w:val="24"/>
          <w:szCs w:val="24"/>
        </w:rPr>
        <w:t>pods</w:t>
      </w:r>
      <w:r w:rsidR="00E345BF">
        <w:rPr>
          <w:rFonts w:cstheme="minorHAnsi"/>
          <w:sz w:val="24"/>
          <w:szCs w:val="24"/>
        </w:rPr>
        <w:t>j</w:t>
      </w:r>
      <w:r w:rsidR="0062298F">
        <w:rPr>
          <w:rFonts w:cstheme="minorHAnsi"/>
          <w:sz w:val="24"/>
          <w:szCs w:val="24"/>
        </w:rPr>
        <w:t>etnika</w:t>
      </w:r>
      <w:proofErr w:type="spellEnd"/>
      <w:r w:rsidR="0062298F">
        <w:rPr>
          <w:rFonts w:cstheme="minorHAnsi"/>
          <w:sz w:val="24"/>
          <w:szCs w:val="24"/>
        </w:rPr>
        <w:t xml:space="preserve"> o tome kako sve</w:t>
      </w:r>
      <w:r w:rsidRPr="005000B3">
        <w:rPr>
          <w:rFonts w:cstheme="minorHAnsi"/>
          <w:sz w:val="24"/>
          <w:szCs w:val="24"/>
        </w:rPr>
        <w:t xml:space="preserve"> opština treba da razvija sopstvene kapacitete. </w:t>
      </w:r>
    </w:p>
    <w:p w14:paraId="61E69E45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675294CE" w14:textId="46918521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Usp</w:t>
      </w:r>
      <w:r w:rsidR="0062298F">
        <w:rPr>
          <w:rFonts w:cstheme="minorHAnsi"/>
          <w:sz w:val="24"/>
          <w:szCs w:val="24"/>
        </w:rPr>
        <w:t>ješna</w:t>
      </w:r>
      <w:proofErr w:type="spellEnd"/>
      <w:r w:rsidR="0062298F">
        <w:rPr>
          <w:rFonts w:cstheme="minorHAnsi"/>
          <w:sz w:val="24"/>
          <w:szCs w:val="24"/>
        </w:rPr>
        <w:t xml:space="preserve"> </w:t>
      </w:r>
      <w:proofErr w:type="spellStart"/>
      <w:r w:rsidR="0062298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ertifikacija</w:t>
      </w:r>
      <w:proofErr w:type="spellEnd"/>
      <w:r w:rsidRPr="00592BF3">
        <w:rPr>
          <w:rFonts w:cstheme="minorHAnsi"/>
          <w:sz w:val="24"/>
          <w:szCs w:val="24"/>
        </w:rPr>
        <w:t xml:space="preserve"> podrazum</w:t>
      </w:r>
      <w:r w:rsidR="0062298F">
        <w:rPr>
          <w:rFonts w:cstheme="minorHAnsi"/>
          <w:sz w:val="24"/>
          <w:szCs w:val="24"/>
        </w:rPr>
        <w:t>ij</w:t>
      </w:r>
      <w:r w:rsidRPr="00592BF3">
        <w:rPr>
          <w:rFonts w:cstheme="minorHAnsi"/>
          <w:sz w:val="24"/>
          <w:szCs w:val="24"/>
        </w:rPr>
        <w:t xml:space="preserve">eva ispunjenje </w:t>
      </w:r>
      <w:r>
        <w:rPr>
          <w:rFonts w:cstheme="minorHAnsi"/>
          <w:sz w:val="24"/>
          <w:szCs w:val="24"/>
        </w:rPr>
        <w:t>definisanih</w:t>
      </w:r>
      <w:r w:rsidRPr="00592BF3">
        <w:rPr>
          <w:rFonts w:cstheme="minorHAnsi"/>
          <w:sz w:val="24"/>
          <w:szCs w:val="24"/>
        </w:rPr>
        <w:t xml:space="preserve"> standarda, tj. svojevrsnu garanciju da će postojeći privrednici, kao i potencijalni investitori, dobiti usluge i informacije na n</w:t>
      </w:r>
      <w:r w:rsidR="0062298F">
        <w:rPr>
          <w:rFonts w:cstheme="minorHAnsi"/>
          <w:sz w:val="24"/>
          <w:szCs w:val="24"/>
        </w:rPr>
        <w:t>ačin koji olakšava poslovanje. S</w:t>
      </w:r>
      <w:r w:rsidRPr="00592BF3">
        <w:rPr>
          <w:rFonts w:cstheme="minorHAnsi"/>
          <w:sz w:val="24"/>
          <w:szCs w:val="24"/>
        </w:rPr>
        <w:t xml:space="preserve">ertifikat znači da je lokalna samouprava dokumentovala da su procesi i usluge koje sprovodi u svom </w:t>
      </w:r>
      <w:r w:rsidR="0062298F">
        <w:rPr>
          <w:rFonts w:cstheme="minorHAnsi"/>
          <w:sz w:val="24"/>
          <w:szCs w:val="24"/>
        </w:rPr>
        <w:t xml:space="preserve">radu u skladu sa kriterijumima </w:t>
      </w:r>
      <w:proofErr w:type="spellStart"/>
      <w:r w:rsidR="0062298F">
        <w:rPr>
          <w:rFonts w:cstheme="minorHAnsi"/>
          <w:sz w:val="24"/>
          <w:szCs w:val="24"/>
        </w:rPr>
        <w:t>s</w:t>
      </w:r>
      <w:r w:rsidRPr="00592BF3">
        <w:rPr>
          <w:rFonts w:cstheme="minorHAnsi"/>
          <w:sz w:val="24"/>
          <w:szCs w:val="24"/>
        </w:rPr>
        <w:t>ertifikacije</w:t>
      </w:r>
      <w:proofErr w:type="spellEnd"/>
      <w:r w:rsidRPr="00592BF3">
        <w:rPr>
          <w:rFonts w:cstheme="minorHAnsi"/>
          <w:sz w:val="24"/>
          <w:szCs w:val="24"/>
        </w:rPr>
        <w:t>, te da je to potvrdila eksterna, nezavisna i stručna komisija.</w:t>
      </w:r>
    </w:p>
    <w:p w14:paraId="66239792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7E7ABC17" w14:textId="57AD23B8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sz w:val="24"/>
          <w:szCs w:val="24"/>
        </w:rPr>
        <w:t>Kvalitet lokalnog poslovnog okruženja oc</w:t>
      </w:r>
      <w:r w:rsidR="0062298F">
        <w:rPr>
          <w:rFonts w:cstheme="minorHAnsi"/>
          <w:sz w:val="24"/>
          <w:szCs w:val="24"/>
        </w:rPr>
        <w:t>j</w:t>
      </w:r>
      <w:r w:rsidRPr="005000B3">
        <w:rPr>
          <w:rFonts w:cstheme="minorHAnsi"/>
          <w:sz w:val="24"/>
          <w:szCs w:val="24"/>
        </w:rPr>
        <w:t>enjuje se na osnovu više od 60 potkriterijuma koji su grupisani u 10 kategorija</w:t>
      </w:r>
      <w:r>
        <w:rPr>
          <w:rFonts w:cstheme="minorHAnsi"/>
          <w:sz w:val="24"/>
          <w:szCs w:val="24"/>
        </w:rPr>
        <w:t>:</w:t>
      </w:r>
    </w:p>
    <w:p w14:paraId="458EA874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shd w:val="clear" w:color="auto" w:fill="70AD47" w:themeFill="accent6"/>
        <w:tblLook w:val="04A0" w:firstRow="1" w:lastRow="0" w:firstColumn="1" w:lastColumn="0" w:noHBand="0" w:noVBand="1"/>
      </w:tblPr>
      <w:tblGrid>
        <w:gridCol w:w="10682"/>
      </w:tblGrid>
      <w:tr w:rsidR="00483906" w:rsidRPr="00483906" w14:paraId="3A24B868" w14:textId="77777777" w:rsidTr="00595DF6">
        <w:trPr>
          <w:trHeight w:val="926"/>
          <w:jc w:val="center"/>
        </w:trPr>
        <w:tc>
          <w:tcPr>
            <w:tcW w:w="10790" w:type="dxa"/>
            <w:shd w:val="clear" w:color="auto" w:fill="70AD47" w:themeFill="accent6"/>
            <w:vAlign w:val="center"/>
          </w:tcPr>
          <w:p w14:paraId="0CE14BC7" w14:textId="284036CB" w:rsidR="009D1362" w:rsidRPr="00483906" w:rsidRDefault="009D1362" w:rsidP="00D351CC">
            <w:pPr>
              <w:spacing w:line="20" w:lineRule="atLeast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 xml:space="preserve">Strateški </w:t>
            </w:r>
            <w:proofErr w:type="spellStart"/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usm</w:t>
            </w:r>
            <w:r w:rsidR="0062298F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j</w:t>
            </w: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eren</w:t>
            </w:r>
            <w:proofErr w:type="spellEnd"/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 xml:space="preserve"> razvoj lokalne zajednice sa jasno definisanim planom infrastrukturnog razvoja i kapitalnih investicija u čijem planiranju su učestvovali i predstavnici građana i privrede</w:t>
            </w:r>
          </w:p>
        </w:tc>
      </w:tr>
      <w:tr w:rsidR="00483906" w:rsidRPr="00483906" w14:paraId="36913C97" w14:textId="77777777" w:rsidTr="00595DF6">
        <w:trPr>
          <w:trHeight w:val="890"/>
          <w:jc w:val="center"/>
        </w:trPr>
        <w:tc>
          <w:tcPr>
            <w:tcW w:w="10790" w:type="dxa"/>
            <w:shd w:val="clear" w:color="auto" w:fill="00B0F0"/>
            <w:vAlign w:val="center"/>
          </w:tcPr>
          <w:p w14:paraId="2DC34094" w14:textId="2D3D3E66" w:rsidR="009D1362" w:rsidRPr="00483906" w:rsidRDefault="009D1362" w:rsidP="00D351CC">
            <w:pPr>
              <w:spacing w:line="20" w:lineRule="atLeast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Funkcionalna kancelarija za lokalni ekonomski razvoj koja brine o realizaciji prioritetni</w:t>
            </w:r>
            <w:r w:rsidR="0062298F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h razvojnih projekata i aktivno</w:t>
            </w: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 xml:space="preserve"> sarađuje sa lokalnom poslovnom zajednicom</w:t>
            </w:r>
          </w:p>
        </w:tc>
      </w:tr>
      <w:tr w:rsidR="00483906" w:rsidRPr="00483906" w14:paraId="10F966A6" w14:textId="77777777" w:rsidTr="00595DF6">
        <w:trPr>
          <w:trHeight w:val="1430"/>
          <w:jc w:val="center"/>
        </w:trPr>
        <w:tc>
          <w:tcPr>
            <w:tcW w:w="10790" w:type="dxa"/>
            <w:shd w:val="clear" w:color="auto" w:fill="70AD47" w:themeFill="accent6"/>
            <w:vAlign w:val="center"/>
          </w:tcPr>
          <w:p w14:paraId="7CCE49FD" w14:textId="218F89BA" w:rsidR="009D1362" w:rsidRPr="00483906" w:rsidRDefault="009D1362" w:rsidP="00D351CC">
            <w:pPr>
              <w:spacing w:line="20" w:lineRule="atLeast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Partnerski odnos lokalne samouprave i privrednika kroz funkcionalan Privredni sav</w:t>
            </w:r>
            <w:r w:rsidR="0062298F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j</w:t>
            </w: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et koji je regionalno prepoznat kao nezaobilazni mehanizam u kreiranju povoljne poslovne klime na lokalu i kanal za komunikaciju s privredom koja na ovaj način postaje najefikasniji promoter investicionih potencijala opštine.</w:t>
            </w:r>
          </w:p>
        </w:tc>
      </w:tr>
      <w:tr w:rsidR="00483906" w:rsidRPr="00483906" w14:paraId="1B4935BE" w14:textId="77777777" w:rsidTr="00595DF6">
        <w:trPr>
          <w:trHeight w:val="890"/>
          <w:jc w:val="center"/>
        </w:trPr>
        <w:tc>
          <w:tcPr>
            <w:tcW w:w="10790" w:type="dxa"/>
            <w:shd w:val="clear" w:color="auto" w:fill="00B0F0"/>
            <w:vAlign w:val="center"/>
          </w:tcPr>
          <w:p w14:paraId="4AE3ABF8" w14:textId="6555565A" w:rsidR="009D1362" w:rsidRPr="00483906" w:rsidRDefault="0062298F" w:rsidP="00D351CC">
            <w:pPr>
              <w:spacing w:line="20" w:lineRule="atLeast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Uspostav</w:t>
            </w:r>
            <w:r w:rsidR="009D1362"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ljen efikasan sistem za dobijanje građevinskih dozvola sa jasnim i transparentnim procedurama i instrukcijama koji su na raspolaganju zainteresovanim investitorima</w:t>
            </w:r>
          </w:p>
        </w:tc>
      </w:tr>
      <w:tr w:rsidR="00483906" w:rsidRPr="00483906" w14:paraId="1B664016" w14:textId="77777777" w:rsidTr="00595DF6">
        <w:trPr>
          <w:trHeight w:val="980"/>
          <w:jc w:val="center"/>
        </w:trPr>
        <w:tc>
          <w:tcPr>
            <w:tcW w:w="10790" w:type="dxa"/>
            <w:shd w:val="clear" w:color="auto" w:fill="70AD47" w:themeFill="accent6"/>
            <w:vAlign w:val="center"/>
          </w:tcPr>
          <w:p w14:paraId="629F7C09" w14:textId="77777777" w:rsidR="009D1362" w:rsidRPr="00483906" w:rsidRDefault="009D1362" w:rsidP="00D351CC">
            <w:pPr>
              <w:spacing w:line="20" w:lineRule="atLeast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Proaktivan pristup u promociji investicionih potencijala sa informacijama o mogućnostima ulaganja, komparativnim prednostima opštine i povoljnostima za poslovanje i investiranje</w:t>
            </w:r>
          </w:p>
        </w:tc>
      </w:tr>
      <w:tr w:rsidR="00483906" w:rsidRPr="00483906" w14:paraId="112B2671" w14:textId="77777777" w:rsidTr="00595DF6">
        <w:trPr>
          <w:trHeight w:val="1061"/>
          <w:jc w:val="center"/>
        </w:trPr>
        <w:tc>
          <w:tcPr>
            <w:tcW w:w="10790" w:type="dxa"/>
            <w:shd w:val="clear" w:color="auto" w:fill="00B0F0"/>
            <w:vAlign w:val="center"/>
          </w:tcPr>
          <w:p w14:paraId="3CB5452A" w14:textId="77777777" w:rsidR="009D1362" w:rsidRPr="00483906" w:rsidRDefault="009D1362" w:rsidP="00D351CC">
            <w:pPr>
              <w:spacing w:line="20" w:lineRule="atLeast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Predvidivost troškova poslovanja i odgovorno upravljanje finansijama kroz uređen i funkcionalan mehanizam za predstavljanje tačnih ili orijentacionih troškova poslovanja u procesu investicionog planiranja</w:t>
            </w:r>
          </w:p>
        </w:tc>
      </w:tr>
      <w:tr w:rsidR="00483906" w:rsidRPr="00483906" w14:paraId="09DD085C" w14:textId="77777777" w:rsidTr="00595DF6">
        <w:trPr>
          <w:trHeight w:val="899"/>
          <w:jc w:val="center"/>
        </w:trPr>
        <w:tc>
          <w:tcPr>
            <w:tcW w:w="10790" w:type="dxa"/>
            <w:shd w:val="clear" w:color="auto" w:fill="70AD47" w:themeFill="accent6"/>
            <w:vAlign w:val="center"/>
          </w:tcPr>
          <w:p w14:paraId="3F6E69C9" w14:textId="15DEB32F" w:rsidR="009D1362" w:rsidRPr="00483906" w:rsidRDefault="009D1362" w:rsidP="00D351CC">
            <w:pPr>
              <w:spacing w:line="20" w:lineRule="atLeast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 xml:space="preserve">Podrška lokalnom tržištu rada kroz jasno </w:t>
            </w:r>
            <w:proofErr w:type="spellStart"/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definsane</w:t>
            </w:r>
            <w:proofErr w:type="spellEnd"/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 xml:space="preserve"> m</w:t>
            </w:r>
            <w:r w:rsidR="0062298F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j</w:t>
            </w: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ere i programe prekvalifikacije i dokvalifikacije prema potrebama lokalne privrede</w:t>
            </w:r>
          </w:p>
        </w:tc>
      </w:tr>
      <w:tr w:rsidR="00483906" w:rsidRPr="00483906" w14:paraId="45AFB3FD" w14:textId="77777777" w:rsidTr="00595DF6">
        <w:trPr>
          <w:trHeight w:val="971"/>
          <w:jc w:val="center"/>
        </w:trPr>
        <w:tc>
          <w:tcPr>
            <w:tcW w:w="10790" w:type="dxa"/>
            <w:shd w:val="clear" w:color="auto" w:fill="00B0F0"/>
            <w:vAlign w:val="center"/>
          </w:tcPr>
          <w:p w14:paraId="7F9657B5" w14:textId="4D66C777" w:rsidR="009D1362" w:rsidRPr="00483906" w:rsidRDefault="0062298F" w:rsidP="00D351CC">
            <w:pPr>
              <w:spacing w:line="20" w:lineRule="atLeast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Podsticajna politika</w:t>
            </w:r>
            <w:r w:rsidR="009D1362"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 xml:space="preserve"> i podrška razvoju preduzetništva kroz set finansijskih i </w:t>
            </w:r>
            <w:proofErr w:type="spellStart"/>
            <w:r w:rsidR="009D1362"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nefinansijskih</w:t>
            </w:r>
            <w:proofErr w:type="spellEnd"/>
            <w:r w:rsidR="009D1362"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 xml:space="preserve"> m</w:t>
            </w:r>
            <w:r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j</w:t>
            </w:r>
            <w:r w:rsidR="009D1362"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era, podsticaja i olakšica za one koji su zainteresovani da pokrenu poslovanje</w:t>
            </w:r>
          </w:p>
        </w:tc>
      </w:tr>
      <w:tr w:rsidR="00483906" w:rsidRPr="00483906" w14:paraId="00118027" w14:textId="77777777" w:rsidTr="00595DF6">
        <w:trPr>
          <w:trHeight w:val="1178"/>
          <w:jc w:val="center"/>
        </w:trPr>
        <w:tc>
          <w:tcPr>
            <w:tcW w:w="10790" w:type="dxa"/>
            <w:shd w:val="clear" w:color="auto" w:fill="70AD47" w:themeFill="accent6"/>
            <w:vAlign w:val="center"/>
          </w:tcPr>
          <w:p w14:paraId="0098C6DB" w14:textId="0DA55142" w:rsidR="009D1362" w:rsidRPr="00483906" w:rsidRDefault="009D1362" w:rsidP="00D351CC">
            <w:pPr>
              <w:spacing w:line="20" w:lineRule="atLeast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Strateško opredeljenje ka zaštiti životne sredine i lokalnu politiku taksi i naknada koja stimuliše uključenje privatnog sektora u cirkularnu ekonomiju, a sve u cilju podizanja ekološke sv</w:t>
            </w:r>
            <w:r w:rsidR="00FE56B1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ij</w:t>
            </w: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esti građana, privrednika, lokalne samouprave i komunalnih preduzeća</w:t>
            </w:r>
          </w:p>
        </w:tc>
      </w:tr>
      <w:tr w:rsidR="00483906" w:rsidRPr="00483906" w14:paraId="284EF24F" w14:textId="77777777" w:rsidTr="00595DF6">
        <w:trPr>
          <w:trHeight w:val="1061"/>
          <w:jc w:val="center"/>
        </w:trPr>
        <w:tc>
          <w:tcPr>
            <w:tcW w:w="10790" w:type="dxa"/>
            <w:shd w:val="clear" w:color="auto" w:fill="00B0F0"/>
            <w:vAlign w:val="center"/>
          </w:tcPr>
          <w:p w14:paraId="3A6DFB50" w14:textId="26055119" w:rsidR="009D1362" w:rsidRPr="00483906" w:rsidRDefault="009D1362" w:rsidP="00D351CC">
            <w:pPr>
              <w:spacing w:line="20" w:lineRule="atLeast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  <w:proofErr w:type="spellStart"/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Usm</w:t>
            </w:r>
            <w:r w:rsidR="0062298F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j</w:t>
            </w: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erenost</w:t>
            </w:r>
            <w:proofErr w:type="spellEnd"/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 xml:space="preserve"> ka digitalizaciji administrativnih postupaka i uspostavljanje inovativnih r</w:t>
            </w:r>
            <w:r w:rsidR="0062298F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j</w:t>
            </w:r>
            <w:r w:rsidRPr="00483906"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  <w:t>ešenja u pružanju informacija i usluga građanima i poslovnom sektoru kroz elektronske servise</w:t>
            </w:r>
          </w:p>
        </w:tc>
      </w:tr>
    </w:tbl>
    <w:p w14:paraId="77B27D8A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Cs/>
          <w:sz w:val="24"/>
          <w:szCs w:val="24"/>
        </w:rPr>
      </w:pPr>
    </w:p>
    <w:p w14:paraId="158703DB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Cs/>
          <w:sz w:val="24"/>
          <w:szCs w:val="24"/>
        </w:rPr>
      </w:pPr>
    </w:p>
    <w:p w14:paraId="10C9B1B3" w14:textId="202657B4" w:rsidR="009D1362" w:rsidRPr="00D932C2" w:rsidRDefault="00D932C2" w:rsidP="009D1362">
      <w:pPr>
        <w:spacing w:line="20" w:lineRule="atLeast"/>
        <w:contextualSpacing/>
        <w:jc w:val="center"/>
        <w:rPr>
          <w:rFonts w:cstheme="minorHAnsi"/>
          <w:b/>
          <w:bCs/>
          <w:color w:val="00B0F0"/>
          <w:sz w:val="28"/>
          <w:szCs w:val="28"/>
        </w:rPr>
      </w:pPr>
      <w:r w:rsidRPr="00D932C2">
        <w:rPr>
          <w:rFonts w:cstheme="minorHAnsi"/>
          <w:b/>
          <w:bCs/>
          <w:color w:val="00B0F0"/>
          <w:sz w:val="28"/>
          <w:szCs w:val="28"/>
        </w:rPr>
        <w:t xml:space="preserve">KOLIKO TRAJE PROCES </w:t>
      </w:r>
      <w:r w:rsidR="0062298F">
        <w:rPr>
          <w:rFonts w:cstheme="minorHAnsi"/>
          <w:b/>
          <w:bCs/>
          <w:color w:val="00B0F0"/>
          <w:sz w:val="28"/>
          <w:szCs w:val="28"/>
        </w:rPr>
        <w:t>S</w:t>
      </w:r>
      <w:r w:rsidRPr="00D932C2">
        <w:rPr>
          <w:rFonts w:cstheme="minorHAnsi"/>
          <w:b/>
          <w:bCs/>
          <w:color w:val="00B0F0"/>
          <w:sz w:val="28"/>
          <w:szCs w:val="28"/>
        </w:rPr>
        <w:t>ERTI</w:t>
      </w:r>
      <w:r w:rsidR="0062298F">
        <w:rPr>
          <w:rFonts w:cstheme="minorHAnsi"/>
          <w:b/>
          <w:bCs/>
          <w:color w:val="00B0F0"/>
          <w:sz w:val="28"/>
          <w:szCs w:val="28"/>
        </w:rPr>
        <w:t>FIKACIJE I KOLIKO VAŽI BFC SEE S</w:t>
      </w:r>
      <w:r w:rsidRPr="00D932C2">
        <w:rPr>
          <w:rFonts w:cstheme="minorHAnsi"/>
          <w:b/>
          <w:bCs/>
          <w:color w:val="00B0F0"/>
          <w:sz w:val="28"/>
          <w:szCs w:val="28"/>
        </w:rPr>
        <w:t>ERTIFIKAT?</w:t>
      </w:r>
    </w:p>
    <w:p w14:paraId="24B2D59A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7BB949E9" w14:textId="2549AD9B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sz w:val="24"/>
          <w:szCs w:val="24"/>
        </w:rPr>
        <w:t>Za realizaciju procesa predviđeno je najviše 12 m</w:t>
      </w:r>
      <w:r w:rsidR="0062298F">
        <w:rPr>
          <w:rFonts w:cstheme="minorHAnsi"/>
          <w:sz w:val="24"/>
          <w:szCs w:val="24"/>
        </w:rPr>
        <w:t>j</w:t>
      </w:r>
      <w:r w:rsidRPr="005000B3">
        <w:rPr>
          <w:rFonts w:cstheme="minorHAnsi"/>
          <w:sz w:val="24"/>
          <w:szCs w:val="24"/>
        </w:rPr>
        <w:t>eseci,</w:t>
      </w:r>
      <w:r w:rsidR="0062298F">
        <w:rPr>
          <w:rFonts w:cstheme="minorHAnsi"/>
          <w:sz w:val="24"/>
          <w:szCs w:val="24"/>
        </w:rPr>
        <w:t xml:space="preserve"> ali ovaj proces zavisi od spremnosti </w:t>
      </w:r>
      <w:r w:rsidRPr="005000B3">
        <w:rPr>
          <w:rFonts w:cstheme="minorHAnsi"/>
          <w:sz w:val="24"/>
          <w:szCs w:val="24"/>
        </w:rPr>
        <w:t xml:space="preserve">opštine </w:t>
      </w:r>
      <w:r w:rsidR="0062298F">
        <w:rPr>
          <w:rFonts w:cstheme="minorHAnsi"/>
          <w:sz w:val="24"/>
          <w:szCs w:val="24"/>
        </w:rPr>
        <w:t xml:space="preserve">i </w:t>
      </w:r>
      <w:r w:rsidRPr="005000B3">
        <w:rPr>
          <w:rFonts w:cstheme="minorHAnsi"/>
          <w:sz w:val="24"/>
          <w:szCs w:val="24"/>
        </w:rPr>
        <w:t>može biti završen znatno ranije. Proces je u potpunosti automatizovan i realizuje se u okviru posebno razvijenog i prilago</w:t>
      </w:r>
      <w:r w:rsidR="0062298F">
        <w:rPr>
          <w:rFonts w:cstheme="minorHAnsi"/>
          <w:sz w:val="24"/>
          <w:szCs w:val="24"/>
        </w:rPr>
        <w:t>đ</w:t>
      </w:r>
      <w:r w:rsidRPr="005000B3">
        <w:rPr>
          <w:rFonts w:cstheme="minorHAnsi"/>
          <w:sz w:val="24"/>
          <w:szCs w:val="24"/>
        </w:rPr>
        <w:t xml:space="preserve">enog softvera kojem opština </w:t>
      </w:r>
      <w:r w:rsidR="0056597C">
        <w:rPr>
          <w:rFonts w:cstheme="minorHAnsi"/>
          <w:sz w:val="24"/>
          <w:szCs w:val="24"/>
        </w:rPr>
        <w:t xml:space="preserve">ima </w:t>
      </w:r>
      <w:r w:rsidRPr="005000B3">
        <w:rPr>
          <w:rFonts w:cstheme="minorHAnsi"/>
          <w:sz w:val="24"/>
          <w:szCs w:val="24"/>
        </w:rPr>
        <w:t xml:space="preserve">pristup i dostavlja određenu dokumentaciju kao dokaz ispunjenosti definisanih kriterijuma. </w:t>
      </w:r>
    </w:p>
    <w:p w14:paraId="0E556F1A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7E93EADE" w14:textId="57748156" w:rsidR="009D1362" w:rsidRPr="005000B3" w:rsidRDefault="0062298F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Proces </w:t>
      </w:r>
      <w:proofErr w:type="spellStart"/>
      <w:r>
        <w:rPr>
          <w:rFonts w:cstheme="minorHAnsi"/>
          <w:sz w:val="24"/>
          <w:szCs w:val="24"/>
        </w:rPr>
        <w:t>s</w:t>
      </w:r>
      <w:r w:rsidR="009D1362" w:rsidRPr="005000B3">
        <w:rPr>
          <w:rFonts w:cstheme="minorHAnsi"/>
          <w:sz w:val="24"/>
          <w:szCs w:val="24"/>
        </w:rPr>
        <w:t>ertifikacije</w:t>
      </w:r>
      <w:proofErr w:type="spellEnd"/>
      <w:r w:rsidR="009D1362" w:rsidRPr="005000B3">
        <w:rPr>
          <w:rFonts w:cstheme="minorHAnsi"/>
          <w:sz w:val="24"/>
          <w:szCs w:val="24"/>
        </w:rPr>
        <w:t xml:space="preserve"> gradova i opština sa povoljnim poslovnim okruženjem u jugoistočnoj Evropi osmišljen je da bude održiv na način da jednom uspostavljene kvalitetne procedure i postupci u lokalnoj administraciji nastavljaju da funkcionišu i nakon </w:t>
      </w:r>
      <w:proofErr w:type="spellStart"/>
      <w:r w:rsidR="009D1362" w:rsidRPr="005000B3">
        <w:rPr>
          <w:rFonts w:cstheme="minorHAnsi"/>
          <w:sz w:val="24"/>
          <w:szCs w:val="24"/>
        </w:rPr>
        <w:t>usp</w:t>
      </w:r>
      <w:r w:rsidR="000E28FC">
        <w:rPr>
          <w:rFonts w:cstheme="minorHAnsi"/>
          <w:sz w:val="24"/>
          <w:szCs w:val="24"/>
        </w:rPr>
        <w:t>j</w:t>
      </w:r>
      <w:r w:rsidR="009D1362" w:rsidRPr="005000B3">
        <w:rPr>
          <w:rFonts w:cstheme="minorHAnsi"/>
          <w:sz w:val="24"/>
          <w:szCs w:val="24"/>
        </w:rPr>
        <w:t>ešne</w:t>
      </w:r>
      <w:proofErr w:type="spellEnd"/>
      <w:r w:rsidR="009D1362" w:rsidRPr="005000B3">
        <w:rPr>
          <w:rFonts w:cstheme="minorHAnsi"/>
          <w:sz w:val="24"/>
          <w:szCs w:val="24"/>
        </w:rPr>
        <w:t xml:space="preserve"> reali</w:t>
      </w:r>
      <w:r w:rsidR="000E28FC">
        <w:rPr>
          <w:rFonts w:cstheme="minorHAnsi"/>
          <w:sz w:val="24"/>
          <w:szCs w:val="24"/>
        </w:rPr>
        <w:t xml:space="preserve">zacije procesa. Period važenja </w:t>
      </w:r>
      <w:proofErr w:type="spellStart"/>
      <w:r w:rsidR="000E28FC">
        <w:rPr>
          <w:rFonts w:cstheme="minorHAnsi"/>
          <w:sz w:val="24"/>
          <w:szCs w:val="24"/>
        </w:rPr>
        <w:t>s</w:t>
      </w:r>
      <w:r w:rsidR="009D1362" w:rsidRPr="005000B3">
        <w:rPr>
          <w:rFonts w:cstheme="minorHAnsi"/>
          <w:sz w:val="24"/>
          <w:szCs w:val="24"/>
        </w:rPr>
        <w:t>ertifikata</w:t>
      </w:r>
      <w:proofErr w:type="spellEnd"/>
      <w:r w:rsidR="009D1362" w:rsidRPr="005000B3">
        <w:rPr>
          <w:rFonts w:cstheme="minorHAnsi"/>
          <w:sz w:val="24"/>
          <w:szCs w:val="24"/>
        </w:rPr>
        <w:t xml:space="preserve"> ograničen je na 3 godine, što uslovljava kontinuiranu prov</w:t>
      </w:r>
      <w:r w:rsidR="000E28FC">
        <w:rPr>
          <w:rFonts w:cstheme="minorHAnsi"/>
          <w:sz w:val="24"/>
          <w:szCs w:val="24"/>
        </w:rPr>
        <w:t>j</w:t>
      </w:r>
      <w:r w:rsidR="009D1362" w:rsidRPr="005000B3">
        <w:rPr>
          <w:rFonts w:cstheme="minorHAnsi"/>
          <w:sz w:val="24"/>
          <w:szCs w:val="24"/>
        </w:rPr>
        <w:t xml:space="preserve">eru, unapređenje i održivost uspostavljenih procedura. </w:t>
      </w:r>
    </w:p>
    <w:p w14:paraId="0BA65038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06603AB5" w14:textId="4B0BDF41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 w:rsidRPr="005000B3">
        <w:rPr>
          <w:rFonts w:cstheme="minorHAnsi"/>
          <w:sz w:val="24"/>
          <w:szCs w:val="24"/>
        </w:rPr>
        <w:t>Nakon uvodne obuke za p</w:t>
      </w:r>
      <w:r w:rsidR="000E28FC">
        <w:rPr>
          <w:rFonts w:cstheme="minorHAnsi"/>
          <w:sz w:val="24"/>
          <w:szCs w:val="24"/>
        </w:rPr>
        <w:t>redstavnike opštinskog tima za s</w:t>
      </w:r>
      <w:r w:rsidRPr="005000B3">
        <w:rPr>
          <w:rFonts w:cstheme="minorHAnsi"/>
          <w:sz w:val="24"/>
          <w:szCs w:val="24"/>
        </w:rPr>
        <w:t>ertifikaciju, sl</w:t>
      </w:r>
      <w:r w:rsidR="00FE56B1">
        <w:rPr>
          <w:rFonts w:cstheme="minorHAnsi"/>
          <w:sz w:val="24"/>
          <w:szCs w:val="24"/>
        </w:rPr>
        <w:t>ij</w:t>
      </w:r>
      <w:r w:rsidRPr="005000B3">
        <w:rPr>
          <w:rFonts w:cstheme="minorHAnsi"/>
          <w:sz w:val="24"/>
          <w:szCs w:val="24"/>
        </w:rPr>
        <w:t>edi faza evaluacije u kojoj se prov</w:t>
      </w:r>
      <w:r w:rsidR="000E28FC">
        <w:rPr>
          <w:rFonts w:cstheme="minorHAnsi"/>
          <w:sz w:val="24"/>
          <w:szCs w:val="24"/>
        </w:rPr>
        <w:t>j</w:t>
      </w:r>
      <w:r w:rsidRPr="005000B3">
        <w:rPr>
          <w:rFonts w:cstheme="minorHAnsi"/>
          <w:sz w:val="24"/>
          <w:szCs w:val="24"/>
        </w:rPr>
        <w:t>erava trenutno stanje u opštini u pogledu ispunjenosti definisanih kriterijuma, nakon čega se opštinskom rukovodstvu dostavlja izv</w:t>
      </w:r>
      <w:r w:rsidR="00FE56B1">
        <w:rPr>
          <w:rFonts w:cstheme="minorHAnsi"/>
          <w:sz w:val="24"/>
          <w:szCs w:val="24"/>
        </w:rPr>
        <w:t>j</w:t>
      </w:r>
      <w:r w:rsidRPr="005000B3">
        <w:rPr>
          <w:rFonts w:cstheme="minorHAnsi"/>
          <w:sz w:val="24"/>
          <w:szCs w:val="24"/>
        </w:rPr>
        <w:t>eštaj sa konkretnim preporuka za unapređenje koje je potrebno implementirati u određenom periodu. Po završetku faze implementacije sl</w:t>
      </w:r>
      <w:r w:rsidR="00FE56B1">
        <w:rPr>
          <w:rFonts w:cstheme="minorHAnsi"/>
          <w:sz w:val="24"/>
          <w:szCs w:val="24"/>
        </w:rPr>
        <w:t>ij</w:t>
      </w:r>
      <w:r w:rsidRPr="005000B3">
        <w:rPr>
          <w:rFonts w:cstheme="minorHAnsi"/>
          <w:sz w:val="24"/>
          <w:szCs w:val="24"/>
        </w:rPr>
        <w:t xml:space="preserve">edi poslednja faza verifikacione provere i potvrde ispunjenosti uslova za </w:t>
      </w:r>
      <w:r w:rsidR="000E28FC">
        <w:rPr>
          <w:rFonts w:cstheme="minorHAnsi"/>
          <w:sz w:val="24"/>
          <w:szCs w:val="24"/>
        </w:rPr>
        <w:t xml:space="preserve">sticanje BFC SEE </w:t>
      </w:r>
      <w:proofErr w:type="spellStart"/>
      <w:r w:rsidR="000E28FC">
        <w:rPr>
          <w:rFonts w:cstheme="minorHAnsi"/>
          <w:sz w:val="24"/>
          <w:szCs w:val="24"/>
        </w:rPr>
        <w:t>s</w:t>
      </w:r>
      <w:r w:rsidRPr="005000B3">
        <w:rPr>
          <w:rFonts w:cstheme="minorHAnsi"/>
          <w:sz w:val="24"/>
          <w:szCs w:val="24"/>
        </w:rPr>
        <w:t>ertifikata</w:t>
      </w:r>
      <w:proofErr w:type="spellEnd"/>
      <w:r w:rsidR="00FE56B1">
        <w:rPr>
          <w:rFonts w:cstheme="minorHAnsi"/>
          <w:sz w:val="24"/>
          <w:szCs w:val="24"/>
        </w:rPr>
        <w:t>,</w:t>
      </w:r>
      <w:r w:rsidRPr="005000B3">
        <w:rPr>
          <w:rFonts w:cstheme="minorHAnsi"/>
          <w:sz w:val="24"/>
          <w:szCs w:val="24"/>
        </w:rPr>
        <w:t xml:space="preserve"> o</w:t>
      </w:r>
      <w:r w:rsidR="000E28FC">
        <w:rPr>
          <w:rFonts w:cstheme="minorHAnsi"/>
          <w:sz w:val="24"/>
          <w:szCs w:val="24"/>
        </w:rPr>
        <w:t>d strane nezavisne međunarodne v</w:t>
      </w:r>
      <w:r w:rsidRPr="005000B3">
        <w:rPr>
          <w:rFonts w:cstheme="minorHAnsi"/>
          <w:sz w:val="24"/>
          <w:szCs w:val="24"/>
        </w:rPr>
        <w:t xml:space="preserve">erifikacione komisije. </w:t>
      </w:r>
    </w:p>
    <w:p w14:paraId="34B8D45F" w14:textId="70BF28C7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708C3DA5" w14:textId="77777777" w:rsidR="0056597C" w:rsidRPr="005000B3" w:rsidRDefault="0056597C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1B81734" w14:textId="0D68C863" w:rsidR="009D1362" w:rsidRPr="00D932C2" w:rsidRDefault="00D932C2" w:rsidP="009D1362">
      <w:pPr>
        <w:spacing w:line="20" w:lineRule="atLeast"/>
        <w:contextualSpacing/>
        <w:jc w:val="center"/>
        <w:rPr>
          <w:rFonts w:cstheme="minorHAnsi"/>
          <w:b/>
          <w:bCs/>
          <w:color w:val="00B0F0"/>
          <w:sz w:val="28"/>
          <w:szCs w:val="28"/>
        </w:rPr>
      </w:pPr>
      <w:r w:rsidRPr="00D932C2">
        <w:rPr>
          <w:rFonts w:cstheme="minorHAnsi"/>
          <w:b/>
          <w:bCs/>
          <w:color w:val="00B0F0"/>
          <w:sz w:val="28"/>
          <w:szCs w:val="28"/>
        </w:rPr>
        <w:t>KOJA JE PROCEDURA ZA UČEŠĆE OPŠTINE U BFC SEE PROGRAMU?</w:t>
      </w:r>
    </w:p>
    <w:p w14:paraId="7E5F05CC" w14:textId="77777777" w:rsidR="009D1362" w:rsidRPr="005000B3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1E6E5022" w14:textId="05A6F88E" w:rsidR="009D1362" w:rsidRDefault="000E28FC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9D1362" w:rsidRPr="005000B3">
        <w:rPr>
          <w:rFonts w:cstheme="minorHAnsi"/>
          <w:sz w:val="24"/>
          <w:szCs w:val="24"/>
        </w:rPr>
        <w:t xml:space="preserve">a učešće </w:t>
      </w:r>
      <w:r w:rsidR="009D1362">
        <w:rPr>
          <w:rFonts w:cstheme="minorHAnsi"/>
          <w:sz w:val="24"/>
          <w:szCs w:val="24"/>
        </w:rPr>
        <w:t xml:space="preserve">zainteresovane opštine </w:t>
      </w:r>
      <w:r>
        <w:rPr>
          <w:rFonts w:cstheme="minorHAnsi"/>
          <w:sz w:val="24"/>
          <w:szCs w:val="24"/>
        </w:rPr>
        <w:t>u BFC SEE p</w:t>
      </w:r>
      <w:r w:rsidR="009D1362" w:rsidRPr="005000B3">
        <w:rPr>
          <w:rFonts w:cstheme="minorHAnsi"/>
          <w:sz w:val="24"/>
          <w:szCs w:val="24"/>
        </w:rPr>
        <w:t>rogramu potrebno je dostaviti elektronsku prijavu koja se nalazi na zvaničnom BFC SEE sajt</w:t>
      </w:r>
      <w:r w:rsidR="009D1362">
        <w:rPr>
          <w:rFonts w:cstheme="minorHAnsi"/>
          <w:sz w:val="24"/>
          <w:szCs w:val="24"/>
        </w:rPr>
        <w:t>u (</w:t>
      </w:r>
      <w:r w:rsidR="009D1362" w:rsidRPr="0056597C">
        <w:rPr>
          <w:rFonts w:cstheme="minorHAnsi"/>
          <w:b/>
          <w:bCs/>
          <w:sz w:val="24"/>
          <w:szCs w:val="24"/>
        </w:rPr>
        <w:t>www.bfc-see.org</w:t>
      </w:r>
      <w:r w:rsidR="009D1362">
        <w:rPr>
          <w:rFonts w:cstheme="minorHAnsi"/>
          <w:sz w:val="24"/>
          <w:szCs w:val="24"/>
        </w:rPr>
        <w:t xml:space="preserve">) </w:t>
      </w:r>
      <w:r w:rsidR="009D1362" w:rsidRPr="005000B3">
        <w:rPr>
          <w:rFonts w:cstheme="minorHAnsi"/>
          <w:sz w:val="24"/>
          <w:szCs w:val="24"/>
        </w:rPr>
        <w:t>ili se direktno obratiti nadležnom Tehničkom sekretarijatu koji će</w:t>
      </w:r>
      <w:r w:rsidR="009D1362">
        <w:rPr>
          <w:rFonts w:cstheme="minorHAnsi"/>
          <w:sz w:val="24"/>
          <w:szCs w:val="24"/>
        </w:rPr>
        <w:t xml:space="preserve"> nakon validacije prijave</w:t>
      </w:r>
      <w:r w:rsidR="009D1362" w:rsidRPr="005000B3">
        <w:rPr>
          <w:rFonts w:cstheme="minorHAnsi"/>
          <w:sz w:val="24"/>
          <w:szCs w:val="24"/>
        </w:rPr>
        <w:t xml:space="preserve"> dostaviti sve neophodne informacije i instrukcije</w:t>
      </w:r>
      <w:r w:rsidR="009D1362">
        <w:rPr>
          <w:rFonts w:cstheme="minorHAnsi"/>
          <w:sz w:val="24"/>
          <w:szCs w:val="24"/>
        </w:rPr>
        <w:t>.</w:t>
      </w:r>
    </w:p>
    <w:p w14:paraId="0904E6EC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1C1B928D" w14:textId="77777777" w:rsidR="009D1362" w:rsidRPr="00D932C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  <w:r w:rsidRPr="00D932C2">
        <w:rPr>
          <w:rFonts w:cstheme="minorHAnsi"/>
          <w:b/>
          <w:bCs/>
          <w:sz w:val="24"/>
          <w:szCs w:val="24"/>
        </w:rPr>
        <w:t>Kontakt Tehničkog sekretarijata:</w:t>
      </w:r>
    </w:p>
    <w:p w14:paraId="68D1E225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56DD84C0" w14:textId="143021F5" w:rsidR="009D1362" w:rsidRDefault="00B724D3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Privredna komora Republike Srpske</w:t>
      </w:r>
      <w:r w:rsidR="009D1362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PKRS</w:t>
      </w:r>
    </w:p>
    <w:p w14:paraId="4F09C9F4" w14:textId="77777777" w:rsidR="000E28FC" w:rsidRPr="000E28FC" w:rsidRDefault="000E28FC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 w:rsidRPr="000E28FC">
        <w:rPr>
          <w:rFonts w:cstheme="minorHAnsi"/>
          <w:sz w:val="24"/>
          <w:szCs w:val="24"/>
        </w:rPr>
        <w:t>Branka Ćopića 6, 78 000 Banja Luka</w:t>
      </w:r>
    </w:p>
    <w:p w14:paraId="6181D66C" w14:textId="3F82B4D6" w:rsidR="009D1362" w:rsidRPr="000E28FC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 w:rsidRPr="000E28FC">
        <w:rPr>
          <w:rFonts w:cstheme="minorHAnsi"/>
          <w:sz w:val="24"/>
          <w:szCs w:val="24"/>
        </w:rPr>
        <w:t>E-</w:t>
      </w:r>
      <w:proofErr w:type="spellStart"/>
      <w:r w:rsidRPr="000E28FC">
        <w:rPr>
          <w:rFonts w:cstheme="minorHAnsi"/>
          <w:sz w:val="24"/>
          <w:szCs w:val="24"/>
        </w:rPr>
        <w:t>mejl</w:t>
      </w:r>
      <w:proofErr w:type="spellEnd"/>
      <w:r w:rsidRPr="000E28FC">
        <w:rPr>
          <w:rFonts w:cstheme="minorHAnsi"/>
          <w:sz w:val="24"/>
          <w:szCs w:val="24"/>
        </w:rPr>
        <w:t xml:space="preserve">: </w:t>
      </w:r>
      <w:r w:rsidR="000E28FC" w:rsidRPr="000E28FC">
        <w:rPr>
          <w:rFonts w:cstheme="minorHAnsi"/>
          <w:sz w:val="24"/>
          <w:szCs w:val="24"/>
        </w:rPr>
        <w:t>svjetlanat@komorars.ba</w:t>
      </w:r>
    </w:p>
    <w:p w14:paraId="4D0BD6CF" w14:textId="0AC33C60" w:rsidR="009D1362" w:rsidRDefault="000E28FC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  <w:r w:rsidRPr="000E28FC">
        <w:rPr>
          <w:rFonts w:cstheme="minorHAnsi"/>
          <w:sz w:val="24"/>
          <w:szCs w:val="24"/>
        </w:rPr>
        <w:t>Telefon: 051 493 139</w:t>
      </w:r>
    </w:p>
    <w:p w14:paraId="5A3C9A6A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61FCBED4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3831C18E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67DB25B2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D4217F2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B9D8989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75B238D0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13A80EB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C708CDD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14D8DDCB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EC1709D" w14:textId="77777777" w:rsidR="009D1362" w:rsidRDefault="009D1362" w:rsidP="009D1362">
      <w:pPr>
        <w:spacing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189F50C2" w14:textId="7B5847DC" w:rsidR="005C031A" w:rsidRPr="00237211" w:rsidRDefault="005C031A" w:rsidP="08677734">
      <w:pPr>
        <w:spacing w:line="20" w:lineRule="atLeast"/>
        <w:contextualSpacing/>
        <w:jc w:val="both"/>
        <w:rPr>
          <w:b/>
          <w:bCs/>
          <w:sz w:val="24"/>
          <w:szCs w:val="24"/>
          <w:lang w:val="sr-Latn-CS"/>
        </w:rPr>
      </w:pPr>
    </w:p>
    <w:sectPr w:rsidR="005C031A" w:rsidRPr="00237211" w:rsidSect="00237211">
      <w:pgSz w:w="11906" w:h="16838"/>
      <w:pgMar w:top="720" w:right="720" w:bottom="720" w:left="72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95414" w14:textId="77777777" w:rsidR="008A07FE" w:rsidRDefault="008A07FE" w:rsidP="00237211">
      <w:pPr>
        <w:spacing w:after="0" w:line="240" w:lineRule="auto"/>
      </w:pPr>
      <w:r>
        <w:separator/>
      </w:r>
    </w:p>
  </w:endnote>
  <w:endnote w:type="continuationSeparator" w:id="0">
    <w:p w14:paraId="091F8560" w14:textId="77777777" w:rsidR="008A07FE" w:rsidRDefault="008A07FE" w:rsidP="00237211">
      <w:pPr>
        <w:spacing w:after="0" w:line="240" w:lineRule="auto"/>
      </w:pPr>
      <w:r>
        <w:continuationSeparator/>
      </w:r>
    </w:p>
  </w:endnote>
  <w:endnote w:type="continuationNotice" w:id="1">
    <w:p w14:paraId="25F4590A" w14:textId="77777777" w:rsidR="008A07FE" w:rsidRDefault="008A07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B58A1" w14:textId="77777777" w:rsidR="008A07FE" w:rsidRDefault="008A07FE" w:rsidP="00237211">
      <w:pPr>
        <w:spacing w:after="0" w:line="240" w:lineRule="auto"/>
      </w:pPr>
      <w:r>
        <w:separator/>
      </w:r>
    </w:p>
  </w:footnote>
  <w:footnote w:type="continuationSeparator" w:id="0">
    <w:p w14:paraId="03BC1401" w14:textId="77777777" w:rsidR="008A07FE" w:rsidRDefault="008A07FE" w:rsidP="00237211">
      <w:pPr>
        <w:spacing w:after="0" w:line="240" w:lineRule="auto"/>
      </w:pPr>
      <w:r>
        <w:continuationSeparator/>
      </w:r>
    </w:p>
  </w:footnote>
  <w:footnote w:type="continuationNotice" w:id="1">
    <w:p w14:paraId="09923468" w14:textId="77777777" w:rsidR="008A07FE" w:rsidRDefault="008A07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73C1"/>
    <w:multiLevelType w:val="hybridMultilevel"/>
    <w:tmpl w:val="FFFFFFFF"/>
    <w:lvl w:ilvl="0" w:tplc="C86097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028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41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8C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2E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62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A1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C2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A7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36B29"/>
    <w:multiLevelType w:val="hybridMultilevel"/>
    <w:tmpl w:val="C81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969"/>
    <w:multiLevelType w:val="hybridMultilevel"/>
    <w:tmpl w:val="61F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50F6"/>
    <w:multiLevelType w:val="hybridMultilevel"/>
    <w:tmpl w:val="FFFFFFFF"/>
    <w:lvl w:ilvl="0" w:tplc="635C2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04B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4F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EF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4A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A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83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E5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6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EB458"/>
    <w:multiLevelType w:val="hybridMultilevel"/>
    <w:tmpl w:val="FFFFFFFF"/>
    <w:lvl w:ilvl="0" w:tplc="1C82F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684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22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05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45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ED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C0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E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42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A4BA9"/>
    <w:multiLevelType w:val="hybridMultilevel"/>
    <w:tmpl w:val="E85C96C2"/>
    <w:lvl w:ilvl="0" w:tplc="1AEE634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7DC1"/>
    <w:multiLevelType w:val="hybridMultilevel"/>
    <w:tmpl w:val="FFFFFFFF"/>
    <w:lvl w:ilvl="0" w:tplc="AEDCBE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BA4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A7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0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6E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A6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2F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85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E8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D9766"/>
    <w:multiLevelType w:val="hybridMultilevel"/>
    <w:tmpl w:val="FFFFFFFF"/>
    <w:lvl w:ilvl="0" w:tplc="185CC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05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C3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84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E5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81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8F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0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4B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D7"/>
    <w:rsid w:val="00015158"/>
    <w:rsid w:val="00080FF2"/>
    <w:rsid w:val="000911DF"/>
    <w:rsid w:val="000E28FC"/>
    <w:rsid w:val="000E5927"/>
    <w:rsid w:val="001229E3"/>
    <w:rsid w:val="00147532"/>
    <w:rsid w:val="00161290"/>
    <w:rsid w:val="00185EE1"/>
    <w:rsid w:val="001967AC"/>
    <w:rsid w:val="001A52B1"/>
    <w:rsid w:val="001C43ED"/>
    <w:rsid w:val="001F7689"/>
    <w:rsid w:val="00237211"/>
    <w:rsid w:val="0025347E"/>
    <w:rsid w:val="002D2637"/>
    <w:rsid w:val="00370D5D"/>
    <w:rsid w:val="003779A3"/>
    <w:rsid w:val="00401CF2"/>
    <w:rsid w:val="00404A1C"/>
    <w:rsid w:val="00427D19"/>
    <w:rsid w:val="00481AFD"/>
    <w:rsid w:val="00483906"/>
    <w:rsid w:val="00490568"/>
    <w:rsid w:val="004D0161"/>
    <w:rsid w:val="004E4780"/>
    <w:rsid w:val="004E5520"/>
    <w:rsid w:val="00515C42"/>
    <w:rsid w:val="0056127B"/>
    <w:rsid w:val="005653FC"/>
    <w:rsid w:val="0056597C"/>
    <w:rsid w:val="00595DF6"/>
    <w:rsid w:val="005C031A"/>
    <w:rsid w:val="005D4027"/>
    <w:rsid w:val="005D6191"/>
    <w:rsid w:val="0062298F"/>
    <w:rsid w:val="006524CD"/>
    <w:rsid w:val="0066504A"/>
    <w:rsid w:val="00671151"/>
    <w:rsid w:val="006F7402"/>
    <w:rsid w:val="00703AAD"/>
    <w:rsid w:val="00763ECF"/>
    <w:rsid w:val="007837D7"/>
    <w:rsid w:val="00870B91"/>
    <w:rsid w:val="008A07FE"/>
    <w:rsid w:val="008A568D"/>
    <w:rsid w:val="008E754E"/>
    <w:rsid w:val="009427A4"/>
    <w:rsid w:val="00942E80"/>
    <w:rsid w:val="00993AB7"/>
    <w:rsid w:val="009A011C"/>
    <w:rsid w:val="009D1362"/>
    <w:rsid w:val="00A520C2"/>
    <w:rsid w:val="00AB4DEF"/>
    <w:rsid w:val="00B06AB1"/>
    <w:rsid w:val="00B231A6"/>
    <w:rsid w:val="00B724D3"/>
    <w:rsid w:val="00C631DC"/>
    <w:rsid w:val="00D351CC"/>
    <w:rsid w:val="00D932C2"/>
    <w:rsid w:val="00D93997"/>
    <w:rsid w:val="00DB468B"/>
    <w:rsid w:val="00DC0906"/>
    <w:rsid w:val="00DC0D94"/>
    <w:rsid w:val="00E04E36"/>
    <w:rsid w:val="00E345BF"/>
    <w:rsid w:val="00E64E5F"/>
    <w:rsid w:val="00ED65F1"/>
    <w:rsid w:val="00EE6D6C"/>
    <w:rsid w:val="00F4517B"/>
    <w:rsid w:val="00F559DC"/>
    <w:rsid w:val="00FB6263"/>
    <w:rsid w:val="00FB706C"/>
    <w:rsid w:val="00FD2990"/>
    <w:rsid w:val="00FE56B1"/>
    <w:rsid w:val="00FF1E5F"/>
    <w:rsid w:val="00FF4ED4"/>
    <w:rsid w:val="01C4CF2E"/>
    <w:rsid w:val="02123D54"/>
    <w:rsid w:val="02F50412"/>
    <w:rsid w:val="0447E270"/>
    <w:rsid w:val="05566C27"/>
    <w:rsid w:val="055ABAB7"/>
    <w:rsid w:val="05E3B2D1"/>
    <w:rsid w:val="06995AF5"/>
    <w:rsid w:val="06C9554F"/>
    <w:rsid w:val="077BF662"/>
    <w:rsid w:val="0787C893"/>
    <w:rsid w:val="08677734"/>
    <w:rsid w:val="090B14DB"/>
    <w:rsid w:val="090FAF49"/>
    <w:rsid w:val="099AC435"/>
    <w:rsid w:val="09CB7D94"/>
    <w:rsid w:val="09F17DEE"/>
    <w:rsid w:val="0B7D4521"/>
    <w:rsid w:val="0CBEF479"/>
    <w:rsid w:val="0D91A189"/>
    <w:rsid w:val="0DDCCAD5"/>
    <w:rsid w:val="0E837F03"/>
    <w:rsid w:val="0EC0A878"/>
    <w:rsid w:val="0F7D2992"/>
    <w:rsid w:val="10105EAD"/>
    <w:rsid w:val="101B0DD8"/>
    <w:rsid w:val="111E6D5A"/>
    <w:rsid w:val="12173313"/>
    <w:rsid w:val="1237D688"/>
    <w:rsid w:val="13C3422C"/>
    <w:rsid w:val="1432FFA7"/>
    <w:rsid w:val="14B84AD4"/>
    <w:rsid w:val="14F4742A"/>
    <w:rsid w:val="159ABB30"/>
    <w:rsid w:val="15F6EAA2"/>
    <w:rsid w:val="165C8406"/>
    <w:rsid w:val="16B3879D"/>
    <w:rsid w:val="16EBC65A"/>
    <w:rsid w:val="1869E89E"/>
    <w:rsid w:val="18D1F74B"/>
    <w:rsid w:val="1AD8660F"/>
    <w:rsid w:val="1B2D980B"/>
    <w:rsid w:val="1B35893C"/>
    <w:rsid w:val="1D91867D"/>
    <w:rsid w:val="1E2A73F0"/>
    <w:rsid w:val="1EFB6678"/>
    <w:rsid w:val="1FFC9A5E"/>
    <w:rsid w:val="23280A3C"/>
    <w:rsid w:val="232F604A"/>
    <w:rsid w:val="2518FC80"/>
    <w:rsid w:val="2652EC4A"/>
    <w:rsid w:val="277907A2"/>
    <w:rsid w:val="289C649B"/>
    <w:rsid w:val="290FBBC2"/>
    <w:rsid w:val="2919A5B0"/>
    <w:rsid w:val="29FAC7E1"/>
    <w:rsid w:val="2A32E93F"/>
    <w:rsid w:val="2A3F4FF8"/>
    <w:rsid w:val="2AD9DE9A"/>
    <w:rsid w:val="2AF9EB07"/>
    <w:rsid w:val="2CA7E34D"/>
    <w:rsid w:val="2E46E03B"/>
    <w:rsid w:val="2E6A4730"/>
    <w:rsid w:val="2F298313"/>
    <w:rsid w:val="3085666E"/>
    <w:rsid w:val="3109ADD1"/>
    <w:rsid w:val="31E05B40"/>
    <w:rsid w:val="32B99466"/>
    <w:rsid w:val="336274B4"/>
    <w:rsid w:val="339B4467"/>
    <w:rsid w:val="366CB34D"/>
    <w:rsid w:val="3763C373"/>
    <w:rsid w:val="382236B7"/>
    <w:rsid w:val="385B5B75"/>
    <w:rsid w:val="3931FAF7"/>
    <w:rsid w:val="3B144912"/>
    <w:rsid w:val="3B389C8C"/>
    <w:rsid w:val="3C240D52"/>
    <w:rsid w:val="3C9B1AAB"/>
    <w:rsid w:val="3E065B6D"/>
    <w:rsid w:val="4066F806"/>
    <w:rsid w:val="40D7CA53"/>
    <w:rsid w:val="40F86DC8"/>
    <w:rsid w:val="4107EFFE"/>
    <w:rsid w:val="41C66342"/>
    <w:rsid w:val="45C45707"/>
    <w:rsid w:val="45D6F497"/>
    <w:rsid w:val="4682CA4B"/>
    <w:rsid w:val="46A6260B"/>
    <w:rsid w:val="48C5EB98"/>
    <w:rsid w:val="49993020"/>
    <w:rsid w:val="4C2FDDC9"/>
    <w:rsid w:val="4CE003F5"/>
    <w:rsid w:val="4D6D815D"/>
    <w:rsid w:val="4E2BF4A1"/>
    <w:rsid w:val="4E40C5E5"/>
    <w:rsid w:val="4FF9F954"/>
    <w:rsid w:val="51425A76"/>
    <w:rsid w:val="5221712F"/>
    <w:rsid w:val="52B0630C"/>
    <w:rsid w:val="52DD2EB8"/>
    <w:rsid w:val="5339ACA6"/>
    <w:rsid w:val="54E4BD04"/>
    <w:rsid w:val="5520D9B6"/>
    <w:rsid w:val="56ED5A6E"/>
    <w:rsid w:val="574722A1"/>
    <w:rsid w:val="580595E5"/>
    <w:rsid w:val="59BEC954"/>
    <w:rsid w:val="5A830E20"/>
    <w:rsid w:val="5A9DE00D"/>
    <w:rsid w:val="5C8410FE"/>
    <w:rsid w:val="5C8C8835"/>
    <w:rsid w:val="5CB0DBAF"/>
    <w:rsid w:val="5E5DB511"/>
    <w:rsid w:val="5FAEC03B"/>
    <w:rsid w:val="5FCB5900"/>
    <w:rsid w:val="5FCC224E"/>
    <w:rsid w:val="60292C53"/>
    <w:rsid w:val="609186F9"/>
    <w:rsid w:val="6435B28B"/>
    <w:rsid w:val="65187949"/>
    <w:rsid w:val="66245AB3"/>
    <w:rsid w:val="6672F3D7"/>
    <w:rsid w:val="66DA23EF"/>
    <w:rsid w:val="685F5BA9"/>
    <w:rsid w:val="68768BC8"/>
    <w:rsid w:val="690DF5D7"/>
    <w:rsid w:val="69E13A5F"/>
    <w:rsid w:val="6AEF4D51"/>
    <w:rsid w:val="6BAE2C8A"/>
    <w:rsid w:val="6C18019F"/>
    <w:rsid w:val="6C713899"/>
    <w:rsid w:val="6CC6F2AD"/>
    <w:rsid w:val="6CC74F0A"/>
    <w:rsid w:val="6E0F53CF"/>
    <w:rsid w:val="6F3E64D4"/>
    <w:rsid w:val="6FCBF1F3"/>
    <w:rsid w:val="70731891"/>
    <w:rsid w:val="720445B1"/>
    <w:rsid w:val="72748EDF"/>
    <w:rsid w:val="728DCEE8"/>
    <w:rsid w:val="72DB3D0E"/>
    <w:rsid w:val="73DEA741"/>
    <w:rsid w:val="76564DF4"/>
    <w:rsid w:val="76743BAE"/>
    <w:rsid w:val="7729927C"/>
    <w:rsid w:val="77E4A142"/>
    <w:rsid w:val="79446F8C"/>
    <w:rsid w:val="7A06A0C2"/>
    <w:rsid w:val="7A0DBD9B"/>
    <w:rsid w:val="7A3F7075"/>
    <w:rsid w:val="7B57ABEC"/>
    <w:rsid w:val="7BCA44A1"/>
    <w:rsid w:val="7D368CB9"/>
    <w:rsid w:val="7D680D59"/>
    <w:rsid w:val="7E34ED03"/>
    <w:rsid w:val="7E6A5B7C"/>
    <w:rsid w:val="7FDE9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267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37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211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211"/>
    <w:rPr>
      <w:rFonts w:ascii="Calibri" w:eastAsia="Calibri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11"/>
  </w:style>
  <w:style w:type="paragraph" w:styleId="Footer">
    <w:name w:val="footer"/>
    <w:basedOn w:val="Normal"/>
    <w:link w:val="FooterChar"/>
    <w:uiPriority w:val="99"/>
    <w:unhideWhenUsed/>
    <w:rsid w:val="0023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11"/>
  </w:style>
  <w:style w:type="paragraph" w:styleId="ListParagraph">
    <w:name w:val="List Paragraph"/>
    <w:basedOn w:val="Normal"/>
    <w:uiPriority w:val="34"/>
    <w:qFormat/>
    <w:rsid w:val="009D1362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9D136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1362"/>
    <w:rPr>
      <w:color w:val="0563C1" w:themeColor="hyperlink"/>
      <w:u w:val="single"/>
    </w:rPr>
  </w:style>
  <w:style w:type="table" w:customStyle="1" w:styleId="GridTable4Accent6">
    <w:name w:val="Grid Table 4 Accent 6"/>
    <w:basedOn w:val="TableNormal"/>
    <w:uiPriority w:val="49"/>
    <w:rsid w:val="00253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1DF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1D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37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211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211"/>
    <w:rPr>
      <w:rFonts w:ascii="Calibri" w:eastAsia="Calibri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11"/>
  </w:style>
  <w:style w:type="paragraph" w:styleId="Footer">
    <w:name w:val="footer"/>
    <w:basedOn w:val="Normal"/>
    <w:link w:val="FooterChar"/>
    <w:uiPriority w:val="99"/>
    <w:unhideWhenUsed/>
    <w:rsid w:val="0023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11"/>
  </w:style>
  <w:style w:type="paragraph" w:styleId="ListParagraph">
    <w:name w:val="List Paragraph"/>
    <w:basedOn w:val="Normal"/>
    <w:uiPriority w:val="34"/>
    <w:qFormat/>
    <w:rsid w:val="009D1362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9D136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1362"/>
    <w:rPr>
      <w:color w:val="0563C1" w:themeColor="hyperlink"/>
      <w:u w:val="single"/>
    </w:rPr>
  </w:style>
  <w:style w:type="table" w:customStyle="1" w:styleId="GridTable4Accent6">
    <w:name w:val="Grid Table 4 Accent 6"/>
    <w:basedOn w:val="TableNormal"/>
    <w:uiPriority w:val="49"/>
    <w:rsid w:val="00253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1DF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1D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https://naled-my.sharepoint.com/personal/m_maric_naled_rs/Documents/Desktop/BFC%20SEE%20Report/Aneksi/5%20Upitnici%20obra&#273;eni%20rezultati/2%20UPITNIK%20ZA%20BFC%20SEE%20GRADOVE%20I%20OP&#352;TINE_AB_MJ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naled-my.sharepoint.com/personal/m_maric_naled_rs/Documents/Desktop/BFC%20SEE%20Report/Aneksi/5%20Upitnici%20obra&#273;eni%20rezultati/2%20UPITNIK%20ZA%20BFC%20SEE%20GRADOVE%20I%20OP&#352;TINE_AB_MJ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ttps://naled-my.sharepoint.com/personal/m_maric_naled_rs/Documents/Desktop/BFC%20SEE%20Report/Aneksi/5%20Upitnici%20obra&#273;eni%20rezultati/2%20UPITNIK%20ZA%20BFC%20SEE%20GRADOVE%20I%20OP&#352;TINE_AB_MJ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BA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pivotSource>
    <c:name>[2 UPITNIK ZA BFC SEE GRADOVE I OPŠTINE_AB_MJ.xlsx]Rezultati istraživanja_BFC opšt!PivotTable3</c:name>
    <c:fmtId val="-1"/>
  </c:pivotSource>
  <c:chart>
    <c:autoTitleDeleted val="1"/>
    <c:pivotFmts>
      <c:pivotFmt>
        <c:idx val="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.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.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00B0F0"/>
          </a:solidFill>
          <a:ln>
            <a:noFill/>
          </a:ln>
          <a:effectLst/>
        </c:spPr>
      </c:pivotFmt>
      <c:pivotFmt>
        <c:idx val="6"/>
        <c:spPr>
          <a:solidFill>
            <a:srgbClr val="00B0F0"/>
          </a:solidFill>
          <a:ln>
            <a:noFill/>
          </a:ln>
          <a:effectLst/>
        </c:spPr>
      </c:pivotFmt>
      <c:pivotFmt>
        <c:idx val="7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.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00B0F0"/>
          </a:solidFill>
          <a:ln>
            <a:noFill/>
          </a:ln>
          <a:effectLst/>
        </c:spPr>
      </c:pivotFmt>
      <c:pivotFmt>
        <c:idx val="9"/>
        <c:spPr>
          <a:solidFill>
            <a:srgbClr val="00B0F0"/>
          </a:solidFill>
          <a:ln>
            <a:noFill/>
          </a:ln>
          <a:effectLst/>
        </c:spPr>
      </c:pivotFmt>
      <c:pivotFmt>
        <c:idx val="10"/>
        <c:spPr>
          <a:solidFill>
            <a:srgbClr val="00B0F0"/>
          </a:solidFill>
          <a:ln>
            <a:noFill/>
          </a:ln>
          <a:effectLst/>
        </c:spPr>
      </c:pivotFmt>
      <c:pivotFmt>
        <c:idx val="11"/>
        <c:spPr>
          <a:solidFill>
            <a:srgbClr val="00B0F0"/>
          </a:solidFill>
          <a:ln>
            <a:noFill/>
          </a:ln>
          <a:effectLst/>
        </c:spPr>
      </c:pivotFmt>
      <c:pivotFmt>
        <c:idx val="12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rgbClr val="00B0F0"/>
          </a:solidFill>
          <a:ln>
            <a:noFill/>
          </a:ln>
          <a:effectLst/>
        </c:spPr>
      </c:pivotFmt>
      <c:pivotFmt>
        <c:idx val="14"/>
        <c:spPr>
          <a:solidFill>
            <a:srgbClr val="00B0F0"/>
          </a:solidFill>
          <a:ln>
            <a:noFill/>
          </a:ln>
          <a:effectLst/>
        </c:spPr>
      </c:pivotFmt>
      <c:pivotFmt>
        <c:idx val="15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rgbClr val="00B0F0"/>
          </a:solidFill>
          <a:ln>
            <a:noFill/>
          </a:ln>
          <a:effectLst/>
        </c:spPr>
      </c:pivotFmt>
      <c:pivotFmt>
        <c:idx val="17"/>
        <c:spPr>
          <a:solidFill>
            <a:srgbClr val="00B0F0"/>
          </a:solidFill>
          <a:ln>
            <a:noFill/>
          </a:ln>
          <a:effectLst/>
        </c:spPr>
      </c:pivotFmt>
      <c:pivotFmt>
        <c:idx val="18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rgbClr val="00B0F0"/>
          </a:solidFill>
          <a:ln>
            <a:noFill/>
          </a:ln>
          <a:effectLst/>
        </c:spPr>
      </c:pivotFmt>
      <c:pivotFmt>
        <c:idx val="20"/>
        <c:spPr>
          <a:solidFill>
            <a:srgbClr val="00B0F0"/>
          </a:solidFill>
          <a:ln>
            <a:noFill/>
          </a:ln>
          <a:effectLst/>
        </c:spPr>
      </c:pivotFmt>
    </c:pivotFmts>
    <c:plotArea>
      <c:layout>
        <c:manualLayout>
          <c:layoutTarget val="inner"/>
          <c:xMode val="edge"/>
          <c:yMode val="edge"/>
          <c:x val="0.12499695770746742"/>
          <c:y val="0.18649808730067097"/>
          <c:w val="0.84934657176253925"/>
          <c:h val="0.5990444509807061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'Rezultati istraživanja_BFC opšt'!$D$25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3B3-43DE-A1A6-7261054B41AC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3B3-43DE-A1A6-7261054B41AC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3B3-43DE-A1A6-7261054B41AC}"/>
              </c:ext>
            </c:extLst>
          </c:dPt>
          <c:dLbls>
            <c:dLbl>
              <c:idx val="1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/>
                      </a:solidFill>
                      <a:latin typeface="Candara" panose="020E0502030303020204" pitchFamily="34" charset="0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Candara" panose="020E0502030303020204" pitchFamily="34" charset="0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'Rezultati istraživanja_BFC opšt'!$C$26:$C$29</c:f>
              <c:strCache>
                <c:ptCount val="3"/>
                <c:pt idx="0">
                  <c:v>Veoma</c:v>
                </c:pt>
                <c:pt idx="1">
                  <c:v>Dovoljno</c:v>
                </c:pt>
                <c:pt idx="2">
                  <c:v>Nedovoljno</c:v>
                </c:pt>
              </c:strCache>
            </c:strRef>
          </c:cat>
          <c:val>
            <c:numRef>
              <c:f>'Rezultati istraživanja_BFC opšt'!$D$26:$D$29</c:f>
              <c:numCache>
                <c:formatCode>0%</c:formatCode>
                <c:ptCount val="3"/>
                <c:pt idx="0">
                  <c:v>0.52380952380952384</c:v>
                </c:pt>
                <c:pt idx="1">
                  <c:v>0.35714285714285715</c:v>
                </c:pt>
                <c:pt idx="2">
                  <c:v>0.11904761904761904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3B3-43DE-A1A6-7261054B4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6263808"/>
        <c:axId val="76265344"/>
      </c:barChart>
      <c:catAx>
        <c:axId val="76263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Candara" panose="020E0502030303020204" pitchFamily="34" charset="0"/>
                <a:ea typeface="+mn-ea"/>
                <a:cs typeface="+mn-cs"/>
              </a:defRPr>
            </a:pPr>
            <a:endParaRPr lang="sr-Latn-RS"/>
          </a:p>
        </c:txPr>
        <c:crossAx val="76265344"/>
        <c:crosses val="autoZero"/>
        <c:auto val="1"/>
        <c:lblAlgn val="ctr"/>
        <c:lblOffset val="100"/>
        <c:noMultiLvlLbl val="0"/>
      </c:catAx>
      <c:valAx>
        <c:axId val="7626534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Candara" panose="020E0502030303020204" pitchFamily="34" charset="0"/>
                <a:ea typeface="+mn-ea"/>
                <a:cs typeface="+mn-cs"/>
              </a:defRPr>
            </a:pPr>
            <a:endParaRPr lang="sr-Latn-RS"/>
          </a:p>
        </c:txPr>
        <c:crossAx val="76263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2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BA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pivotSource>
    <c:name>[2 UPITNIK ZA BFC SEE GRADOVE I OPŠTINE_AB_MJ.xlsx]Rezultati istraživanja_BFC opšt!PivotTable5</c:name>
    <c:fmtId val="-1"/>
  </c:pivotSource>
  <c:chart>
    <c:autoTitleDeleted val="1"/>
    <c:pivotFmts>
      <c:pivotFmt>
        <c:idx val="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00B0F0"/>
          </a:solidFill>
          <a:ln>
            <a:noFill/>
          </a:ln>
          <a:effectLst/>
        </c:spPr>
      </c:pivotFmt>
      <c:pivotFmt>
        <c:idx val="3"/>
        <c:spPr>
          <a:solidFill>
            <a:srgbClr val="00B0F0"/>
          </a:solidFill>
          <a:ln>
            <a:noFill/>
          </a:ln>
          <a:effectLst/>
        </c:spPr>
      </c:pivotFmt>
      <c:pivotFmt>
        <c:idx val="4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00B0F0"/>
          </a:solidFill>
          <a:ln>
            <a:noFill/>
          </a:ln>
          <a:effectLst/>
        </c:spPr>
      </c:pivotFmt>
      <c:pivotFmt>
        <c:idx val="6"/>
        <c:spPr>
          <a:solidFill>
            <a:srgbClr val="00B0F0"/>
          </a:solidFill>
          <a:ln>
            <a:noFill/>
          </a:ln>
          <a:effectLst/>
        </c:spPr>
      </c:pivotFmt>
      <c:pivotFmt>
        <c:idx val="7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00B0F0"/>
          </a:solidFill>
          <a:ln>
            <a:noFill/>
          </a:ln>
          <a:effectLst/>
        </c:spPr>
      </c:pivotFmt>
      <c:pivotFmt>
        <c:idx val="9"/>
        <c:spPr>
          <a:solidFill>
            <a:srgbClr val="00B0F0"/>
          </a:solidFill>
          <a:ln>
            <a:noFill/>
          </a:ln>
          <a:effectLst/>
        </c:spPr>
      </c:pivotFmt>
      <c:pivotFmt>
        <c:idx val="10"/>
        <c:spPr>
          <a:solidFill>
            <a:srgbClr val="00B0F0"/>
          </a:solidFill>
          <a:ln>
            <a:noFill/>
          </a:ln>
          <a:effectLst/>
        </c:spPr>
      </c:pivotFmt>
      <c:pivotFmt>
        <c:idx val="11"/>
        <c:spPr>
          <a:solidFill>
            <a:srgbClr val="00B0F0"/>
          </a:solidFill>
          <a:ln>
            <a:noFill/>
          </a:ln>
          <a:effectLst/>
        </c:spPr>
      </c:pivotFmt>
      <c:pivotFmt>
        <c:idx val="12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rgbClr val="00B0F0"/>
          </a:solidFill>
          <a:ln>
            <a:noFill/>
          </a:ln>
          <a:effectLst/>
        </c:spPr>
      </c:pivotFmt>
      <c:pivotFmt>
        <c:idx val="14"/>
        <c:spPr>
          <a:solidFill>
            <a:srgbClr val="00B0F0"/>
          </a:solidFill>
          <a:ln>
            <a:noFill/>
          </a:ln>
          <a:effectLst/>
        </c:spPr>
      </c:pivotFmt>
      <c:pivotFmt>
        <c:idx val="15"/>
        <c:spPr>
          <a:solidFill>
            <a:srgbClr val="00B0F0"/>
          </a:solidFill>
          <a:ln>
            <a:noFill/>
          </a:ln>
          <a:effectLst/>
        </c:spPr>
      </c:pivotFmt>
      <c:pivotFmt>
        <c:idx val="16"/>
        <c:spPr>
          <a:solidFill>
            <a:srgbClr val="00B0F0"/>
          </a:solidFill>
          <a:ln>
            <a:noFill/>
          </a:ln>
          <a:effectLst/>
        </c:spPr>
      </c:pivotFmt>
      <c:pivotFmt>
        <c:idx val="17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rgbClr val="00B0F0"/>
          </a:solidFill>
          <a:ln>
            <a:noFill/>
          </a:ln>
          <a:effectLst/>
        </c:spPr>
      </c:pivotFmt>
      <c:pivotFmt>
        <c:idx val="19"/>
        <c:spPr>
          <a:solidFill>
            <a:srgbClr val="00B0F0"/>
          </a:solidFill>
          <a:ln>
            <a:noFill/>
          </a:ln>
          <a:effectLst/>
        </c:spPr>
      </c:pivotFmt>
      <c:pivotFmt>
        <c:idx val="20"/>
        <c:spPr>
          <a:solidFill>
            <a:srgbClr val="00B0F0"/>
          </a:solidFill>
          <a:ln>
            <a:noFill/>
          </a:ln>
          <a:effectLst/>
        </c:spPr>
      </c:pivotFmt>
      <c:pivotFmt>
        <c:idx val="21"/>
        <c:spPr>
          <a:solidFill>
            <a:srgbClr val="00B0F0"/>
          </a:solidFill>
          <a:ln>
            <a:noFill/>
          </a:ln>
          <a:effectLst/>
        </c:spPr>
      </c:pivotFmt>
    </c:pivotFmts>
    <c:plotArea>
      <c:layout>
        <c:manualLayout>
          <c:layoutTarget val="inner"/>
          <c:xMode val="edge"/>
          <c:yMode val="edge"/>
          <c:x val="2.3504221816009186E-2"/>
          <c:y val="0.19609507144940216"/>
          <c:w val="0.95299145299145294"/>
          <c:h val="0.49144940215806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'Rezultati istraživanja_BFC opšt'!$D$40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3B0-4AB7-A26A-C4573CD7462C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3B0-4AB7-A26A-C4573CD7462C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F3B0-4AB7-A26A-C4573CD7462C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F3B0-4AB7-A26A-C4573CD746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Candara" panose="020E0502030303020204" pitchFamily="34" charset="0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'Rezultati istraživanja_BFC opšt'!$C$41:$C$46</c:f>
              <c:strCache>
                <c:ptCount val="5"/>
                <c:pt idx="0">
                  <c:v>Unapređenje efikasnosti u radu uprave</c:v>
                </c:pt>
                <c:pt idx="1">
                  <c:v>Privlačenje novih domaćin i stranih investititora</c:v>
                </c:pt>
                <c:pt idx="2">
                  <c:v>Sve navedeno</c:v>
                </c:pt>
                <c:pt idx="3">
                  <c:v>Prepoznatljivost, promocija, imidž opštine</c:v>
                </c:pt>
                <c:pt idx="4">
                  <c:v>Unapređenje saradnje sa lokalnom poslovnom zajednicom</c:v>
                </c:pt>
              </c:strCache>
            </c:strRef>
          </c:cat>
          <c:val>
            <c:numRef>
              <c:f>'Rezultati istraživanja_BFC opšt'!$D$41:$D$46</c:f>
              <c:numCache>
                <c:formatCode>0%</c:formatCode>
                <c:ptCount val="5"/>
                <c:pt idx="0">
                  <c:v>0.2857142857142857</c:v>
                </c:pt>
                <c:pt idx="1">
                  <c:v>0.2857142857142857</c:v>
                </c:pt>
                <c:pt idx="2">
                  <c:v>0.16666666666666666</c:v>
                </c:pt>
                <c:pt idx="3">
                  <c:v>0.16666666666666666</c:v>
                </c:pt>
                <c:pt idx="4">
                  <c:v>9.5238095238095233E-2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3B0-4AB7-A26A-C4573CD746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087680"/>
        <c:axId val="76089216"/>
      </c:barChart>
      <c:catAx>
        <c:axId val="7608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andara" panose="020E0502030303020204" pitchFamily="34" charset="0"/>
                <a:ea typeface="+mn-ea"/>
                <a:cs typeface="+mn-cs"/>
              </a:defRPr>
            </a:pPr>
            <a:endParaRPr lang="sr-Latn-RS"/>
          </a:p>
        </c:txPr>
        <c:crossAx val="76089216"/>
        <c:crosses val="autoZero"/>
        <c:auto val="1"/>
        <c:lblAlgn val="ctr"/>
        <c:lblOffset val="100"/>
        <c:noMultiLvlLbl val="0"/>
      </c:catAx>
      <c:valAx>
        <c:axId val="760892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608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Candara" panose="020E0502030303020204" pitchFamily="34" charset="0"/>
        </a:defRPr>
      </a:pPr>
      <a:endParaRPr lang="sr-Latn-RS"/>
    </a:p>
  </c:txPr>
  <c:externalData r:id="rId2">
    <c:autoUpdate val="0"/>
  </c:externalData>
  <c:extLst xmlns:c16r2="http://schemas.microsoft.com/office/drawing/2015/06/chart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BA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pivotSource>
    <c:name>[2 UPITNIK ZA BFC SEE GRADOVE I OPŠTINE_AB_MJ.xlsx]Rezultati istraživanja_BFC opšt!PivotTable8</c:name>
    <c:fmtId val="-1"/>
  </c:pivotSource>
  <c:chart>
    <c:autoTitleDeleted val="1"/>
    <c:pivotFmts>
      <c:pivotFmt>
        <c:idx val="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.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.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00B0F0"/>
          </a:solidFill>
          <a:ln>
            <a:noFill/>
          </a:ln>
          <a:effectLst/>
        </c:spPr>
      </c:pivotFmt>
      <c:pivotFmt>
        <c:idx val="6"/>
        <c:spPr>
          <a:solidFill>
            <a:srgbClr val="00B0F0"/>
          </a:solidFill>
          <a:ln>
            <a:noFill/>
          </a:ln>
          <a:effectLst/>
        </c:spPr>
      </c:pivotFmt>
      <c:pivotFmt>
        <c:idx val="7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.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00B0F0"/>
          </a:solidFill>
          <a:ln>
            <a:noFill/>
          </a:ln>
          <a:effectLst/>
        </c:spPr>
      </c:pivotFmt>
      <c:pivotFmt>
        <c:idx val="9"/>
        <c:spPr>
          <a:solidFill>
            <a:srgbClr val="00B0F0"/>
          </a:solidFill>
          <a:ln>
            <a:noFill/>
          </a:ln>
          <a:effectLst/>
        </c:spPr>
      </c:pivotFmt>
      <c:pivotFmt>
        <c:idx val="10"/>
        <c:spPr>
          <a:solidFill>
            <a:srgbClr val="00B0F0"/>
          </a:solidFill>
          <a:ln>
            <a:noFill/>
          </a:ln>
          <a:effectLst/>
        </c:spPr>
      </c:pivotFmt>
      <c:pivotFmt>
        <c:idx val="11"/>
        <c:spPr>
          <a:solidFill>
            <a:srgbClr val="00B0F0"/>
          </a:solidFill>
          <a:ln>
            <a:noFill/>
          </a:ln>
          <a:effectLst/>
        </c:spPr>
      </c:pivotFmt>
      <c:pivotFmt>
        <c:idx val="12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rgbClr val="FF0000"/>
          </a:solidFill>
          <a:ln>
            <a:noFill/>
          </a:ln>
          <a:effectLst/>
        </c:spPr>
      </c:pivotFmt>
      <c:pivotFmt>
        <c:idx val="14"/>
        <c:spPr>
          <a:solidFill>
            <a:srgbClr val="00B0F0"/>
          </a:solidFill>
          <a:ln>
            <a:noFill/>
          </a:ln>
          <a:effectLst/>
        </c:spPr>
      </c:pivotFmt>
      <c:pivotFmt>
        <c:idx val="15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rgbClr val="FF0000"/>
          </a:solidFill>
          <a:ln>
            <a:noFill/>
          </a:ln>
          <a:effectLst/>
        </c:spPr>
      </c:pivotFmt>
      <c:pivotFmt>
        <c:idx val="17"/>
        <c:spPr>
          <a:solidFill>
            <a:srgbClr val="00B0F0"/>
          </a:solidFill>
          <a:ln>
            <a:noFill/>
          </a:ln>
          <a:effectLst/>
        </c:spPr>
      </c:pivotFmt>
      <c:pivotFmt>
        <c:idx val="18"/>
        <c:spPr>
          <a:solidFill>
            <a:srgbClr val="00B0F0"/>
          </a:solidFill>
          <a:ln>
            <a:noFill/>
          </a:ln>
          <a:effectLst/>
        </c:spPr>
        <c:marker>
          <c:symbol val="none"/>
        </c:marker>
        <c:dLbl>
          <c:idx val="0"/>
          <c:numFmt formatCode="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Candara" panose="020E0502030303020204" pitchFamily="34" charset="0"/>
                  <a:ea typeface="+mn-ea"/>
                  <a:cs typeface="+mn-cs"/>
                </a:defRPr>
              </a:pPr>
              <a:endParaRPr lang="sr-Latn-R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rgbClr val="FF0000"/>
          </a:solidFill>
          <a:ln>
            <a:noFill/>
          </a:ln>
          <a:effectLst/>
        </c:spPr>
      </c:pivotFmt>
      <c:pivotFmt>
        <c:idx val="20"/>
        <c:spPr>
          <a:solidFill>
            <a:srgbClr val="00B0F0"/>
          </a:solidFill>
          <a:ln>
            <a:noFill/>
          </a:ln>
          <a:effectLst/>
        </c:spPr>
      </c:pivotFmt>
    </c:pivotFmts>
    <c:plotArea>
      <c:layout>
        <c:manualLayout>
          <c:layoutTarget val="inner"/>
          <c:xMode val="edge"/>
          <c:yMode val="edge"/>
          <c:x val="0.15252767951989313"/>
          <c:y val="0.11348734300774385"/>
          <c:w val="0.79945564523488821"/>
          <c:h val="0.685980781327953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'Rezultati istraživanja_BFC opšt'!$D$69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B3A-4126-837E-42B993F47E4E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4B3A-4126-837E-42B993F47E4E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'Rezultati istraživanja_BFC opšt'!$C$70:$C$73</c:f>
              <c:strCache>
                <c:ptCount val="3"/>
                <c:pt idx="0">
                  <c:v>Korisno</c:v>
                </c:pt>
                <c:pt idx="1">
                  <c:v>Možda</c:v>
                </c:pt>
                <c:pt idx="2">
                  <c:v>Nije korisno</c:v>
                </c:pt>
              </c:strCache>
            </c:strRef>
          </c:cat>
          <c:val>
            <c:numRef>
              <c:f>'Rezultati istraživanja_BFC opšt'!$D$70:$D$73</c:f>
              <c:numCache>
                <c:formatCode>0%</c:formatCode>
                <c:ptCount val="3"/>
                <c:pt idx="0">
                  <c:v>0.76190476190476186</c:v>
                </c:pt>
                <c:pt idx="1">
                  <c:v>0.21428571428571427</c:v>
                </c:pt>
                <c:pt idx="2">
                  <c:v>2.3809523809523808E-2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B3A-4126-837E-42B993F47E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868288"/>
        <c:axId val="37869824"/>
      </c:barChart>
      <c:catAx>
        <c:axId val="37868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869824"/>
        <c:crosses val="autoZero"/>
        <c:auto val="1"/>
        <c:lblAlgn val="ctr"/>
        <c:lblOffset val="100"/>
        <c:noMultiLvlLbl val="0"/>
      </c:catAx>
      <c:valAx>
        <c:axId val="3786982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868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sr-Latn-RS"/>
    </a:p>
  </c:txPr>
  <c:externalData r:id="rId2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Lužajić</dc:creator>
  <cp:lastModifiedBy>Svjetlana Kević-Zrnić</cp:lastModifiedBy>
  <cp:revision>7</cp:revision>
  <dcterms:created xsi:type="dcterms:W3CDTF">2023-03-22T10:15:00Z</dcterms:created>
  <dcterms:modified xsi:type="dcterms:W3CDTF">2023-03-24T13:53:00Z</dcterms:modified>
</cp:coreProperties>
</file>